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621B2" w14:textId="329C4D9C" w:rsidR="00007712" w:rsidRDefault="00007712" w:rsidP="00007712">
      <w:pPr>
        <w:pStyle w:val="NoSpacing"/>
      </w:pPr>
      <w:r>
        <w:rPr>
          <w:sz w:val="154"/>
        </w:rPr>
        <w:t>NU</w:t>
      </w:r>
      <w:r w:rsidRPr="00007712">
        <w:rPr>
          <w:rFonts w:ascii="Aptos" w:hAnsi="Aptos"/>
          <w:outline/>
          <w:color w:val="000000"/>
          <w:sz w:val="84"/>
          <w14:textOutline w14:w="9525" w14:cap="flat" w14:cmpd="sng" w14:algn="ctr">
            <w14:solidFill>
              <w14:srgbClr w14:val="000000"/>
            </w14:solidFill>
            <w14:prstDash w14:val="solid"/>
            <w14:round/>
          </w14:textOutline>
          <w14:textFill>
            <w14:noFill/>
          </w14:textFill>
        </w:rPr>
        <w:t>–</w:t>
      </w:r>
      <w:r w:rsidRPr="00007712">
        <w:rPr>
          <w:rFonts w:ascii="Aptos" w:hAnsi="Aptos"/>
          <w:outline/>
          <w:color w:val="000000"/>
          <w:sz w:val="60"/>
          <w:u w:val="single"/>
          <w14:textOutline w14:w="9525" w14:cap="flat" w14:cmpd="sng" w14:algn="ctr">
            <w14:solidFill>
              <w14:srgbClr w14:val="000000"/>
            </w14:solidFill>
            <w14:prstDash w14:val="solid"/>
            <w14:round/>
          </w14:textOutline>
          <w14:textFill>
            <w14:noFill/>
          </w14:textFill>
        </w:rPr>
        <w:t>IACUC POLICY</w:t>
      </w:r>
    </w:p>
    <w:p w14:paraId="19D5B429" w14:textId="732B8C7D" w:rsidR="00007712" w:rsidRDefault="00007712" w:rsidP="00007712">
      <w:pPr>
        <w:pStyle w:val="Heading9"/>
        <w:rPr>
          <w:rFonts w:ascii="Aptos" w:hAnsi="Aptos"/>
          <w:szCs w:val="28"/>
        </w:rPr>
      </w:pPr>
      <w:r>
        <w:rPr>
          <w:rFonts w:ascii="Aptos" w:hAnsi="Aptos"/>
          <w:szCs w:val="28"/>
        </w:rPr>
        <w:t>Northeastern University Institutional Animal Care and Use Committee</w:t>
      </w:r>
    </w:p>
    <w:p w14:paraId="2FDF89EE" w14:textId="77777777" w:rsidR="00007712" w:rsidRPr="00007712" w:rsidRDefault="00007712" w:rsidP="00007712">
      <w:pPr>
        <w:pStyle w:val="NoSpacing"/>
      </w:pPr>
    </w:p>
    <w:tbl>
      <w:tblPr>
        <w:tblW w:w="0" w:type="auto"/>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Look w:val="0000" w:firstRow="0" w:lastRow="0" w:firstColumn="0" w:lastColumn="0" w:noHBand="0" w:noVBand="0"/>
      </w:tblPr>
      <w:tblGrid>
        <w:gridCol w:w="8856"/>
      </w:tblGrid>
      <w:tr w:rsidR="00E34A04" w:rsidRPr="00007712" w14:paraId="4CCA1E0C" w14:textId="77777777" w:rsidTr="00215C74">
        <w:tc>
          <w:tcPr>
            <w:tcW w:w="8856" w:type="dxa"/>
          </w:tcPr>
          <w:p w14:paraId="26EE1B17" w14:textId="77777777" w:rsidR="00E34A04" w:rsidRPr="00007712" w:rsidRDefault="00E34A04" w:rsidP="00215C74">
            <w:pPr>
              <w:jc w:val="center"/>
              <w:rPr>
                <w:rFonts w:ascii="Aptos" w:hAnsi="Aptos"/>
                <w:b/>
                <w:sz w:val="36"/>
              </w:rPr>
            </w:pPr>
          </w:p>
          <w:p w14:paraId="6D7C2357" w14:textId="4875091A" w:rsidR="00977742" w:rsidRPr="00007712" w:rsidRDefault="00977742" w:rsidP="00977742">
            <w:pPr>
              <w:pStyle w:val="BodyText"/>
              <w:jc w:val="center"/>
              <w:rPr>
                <w:rFonts w:ascii="Aptos" w:hAnsi="Aptos" w:cstheme="minorHAnsi"/>
                <w:bCs/>
                <w:sz w:val="28"/>
                <w:szCs w:val="28"/>
              </w:rPr>
            </w:pPr>
            <w:r w:rsidRPr="00007712">
              <w:rPr>
                <w:rFonts w:ascii="Aptos" w:hAnsi="Aptos" w:cstheme="minorHAnsi"/>
                <w:bCs/>
                <w:sz w:val="28"/>
                <w:szCs w:val="28"/>
              </w:rPr>
              <w:t>Policy on the Use of Non-Pharmaceutical Grade (NPG) Substances and Expired Materials</w:t>
            </w:r>
          </w:p>
          <w:p w14:paraId="41509DFF" w14:textId="77777777" w:rsidR="00E34A04" w:rsidRPr="00007712" w:rsidRDefault="00E34A04" w:rsidP="007337C4">
            <w:pPr>
              <w:rPr>
                <w:rFonts w:ascii="Aptos" w:hAnsi="Aptos"/>
              </w:rPr>
            </w:pPr>
          </w:p>
        </w:tc>
      </w:tr>
    </w:tbl>
    <w:p w14:paraId="00EF871C" w14:textId="77777777" w:rsidR="00E34A04" w:rsidRPr="00007712" w:rsidRDefault="00E34A04" w:rsidP="00E34A04">
      <w:pPr>
        <w:pStyle w:val="Footer"/>
        <w:tabs>
          <w:tab w:val="clear" w:pos="4320"/>
          <w:tab w:val="clear" w:pos="8640"/>
        </w:tabs>
        <w:rPr>
          <w:rFonts w:ascii="Aptos" w:hAnsi="Aptos"/>
        </w:rPr>
      </w:pPr>
    </w:p>
    <w:p w14:paraId="4CC95567" w14:textId="1AD62A76" w:rsidR="007337C4" w:rsidRPr="00007712" w:rsidRDefault="007337C4" w:rsidP="007337C4">
      <w:pPr>
        <w:pStyle w:val="Footer"/>
        <w:tabs>
          <w:tab w:val="clear" w:pos="4320"/>
          <w:tab w:val="clear" w:pos="8640"/>
        </w:tabs>
        <w:jc w:val="center"/>
        <w:rPr>
          <w:rFonts w:ascii="Aptos" w:hAnsi="Aptos"/>
          <w:i/>
          <w:iCs/>
          <w:szCs w:val="24"/>
        </w:rPr>
      </w:pPr>
      <w:r w:rsidRPr="00007712">
        <w:rPr>
          <w:rFonts w:ascii="Aptos" w:hAnsi="Aptos"/>
          <w:i/>
          <w:iCs/>
          <w:szCs w:val="24"/>
        </w:rPr>
        <w:t>Re-Approved:</w:t>
      </w:r>
      <w:r w:rsidR="00432B4C" w:rsidRPr="00007712">
        <w:rPr>
          <w:rFonts w:ascii="Aptos" w:hAnsi="Aptos"/>
          <w:i/>
          <w:iCs/>
          <w:szCs w:val="24"/>
        </w:rPr>
        <w:t xml:space="preserve"> </w:t>
      </w:r>
      <w:r w:rsidR="00C2397B">
        <w:rPr>
          <w:rFonts w:ascii="Aptos" w:hAnsi="Aptos"/>
          <w:i/>
          <w:iCs/>
          <w:szCs w:val="24"/>
        </w:rPr>
        <w:t>07/29/2025</w:t>
      </w:r>
    </w:p>
    <w:p w14:paraId="0194A5CE" w14:textId="6BA7B2A9" w:rsidR="007337C4" w:rsidRPr="00007712" w:rsidRDefault="007337C4" w:rsidP="00E34A04">
      <w:pPr>
        <w:pStyle w:val="Footer"/>
        <w:tabs>
          <w:tab w:val="clear" w:pos="4320"/>
          <w:tab w:val="clear" w:pos="8640"/>
        </w:tabs>
        <w:rPr>
          <w:rFonts w:ascii="Aptos" w:hAnsi="Aptos"/>
          <w:szCs w:val="24"/>
        </w:rPr>
      </w:pPr>
    </w:p>
    <w:p w14:paraId="1B7DEE8A" w14:textId="447F929D" w:rsidR="00A62873" w:rsidRPr="00007712" w:rsidRDefault="00A62873" w:rsidP="00E34A04">
      <w:pPr>
        <w:pStyle w:val="Footer"/>
        <w:tabs>
          <w:tab w:val="clear" w:pos="4320"/>
          <w:tab w:val="clear" w:pos="8640"/>
        </w:tabs>
        <w:rPr>
          <w:rFonts w:ascii="Aptos" w:hAnsi="Aptos"/>
          <w:b/>
          <w:sz w:val="22"/>
          <w:szCs w:val="22"/>
          <w:u w:val="single"/>
        </w:rPr>
      </w:pPr>
      <w:r w:rsidRPr="00007712">
        <w:rPr>
          <w:rFonts w:ascii="Aptos" w:hAnsi="Aptos" w:cstheme="minorHAnsi"/>
          <w:b/>
          <w:sz w:val="22"/>
          <w:szCs w:val="22"/>
          <w:u w:val="single"/>
        </w:rPr>
        <w:t>Use of Non-Pharmaceutical Grade (NPG) Substances</w:t>
      </w:r>
    </w:p>
    <w:p w14:paraId="0CDE3AB9" w14:textId="77777777" w:rsidR="00A62873" w:rsidRPr="00007712" w:rsidRDefault="00A62873" w:rsidP="00E34A04">
      <w:pPr>
        <w:pStyle w:val="Footer"/>
        <w:tabs>
          <w:tab w:val="clear" w:pos="4320"/>
          <w:tab w:val="clear" w:pos="8640"/>
        </w:tabs>
        <w:rPr>
          <w:rFonts w:ascii="Aptos" w:hAnsi="Aptos"/>
          <w:szCs w:val="24"/>
        </w:rPr>
      </w:pPr>
    </w:p>
    <w:p w14:paraId="1D1D8042" w14:textId="77777777" w:rsidR="00977742" w:rsidRPr="00007712" w:rsidRDefault="00977742" w:rsidP="00977742">
      <w:pPr>
        <w:autoSpaceDE w:val="0"/>
        <w:autoSpaceDN w:val="0"/>
        <w:adjustRightInd w:val="0"/>
        <w:jc w:val="both"/>
        <w:rPr>
          <w:rFonts w:ascii="Aptos" w:hAnsi="Aptos"/>
          <w:szCs w:val="24"/>
        </w:rPr>
      </w:pPr>
      <w:r w:rsidRPr="00007712">
        <w:rPr>
          <w:rFonts w:ascii="Aptos" w:hAnsi="Aptos"/>
          <w:szCs w:val="24"/>
        </w:rPr>
        <w:t xml:space="preserve">The </w:t>
      </w:r>
      <w:r w:rsidRPr="00007712">
        <w:rPr>
          <w:rFonts w:ascii="Aptos" w:hAnsi="Aptos"/>
          <w:i/>
          <w:szCs w:val="24"/>
        </w:rPr>
        <w:t>Guide for the Care and Use of Laboratory Animals (The Guide)</w:t>
      </w:r>
      <w:r w:rsidRPr="00007712">
        <w:rPr>
          <w:rFonts w:ascii="Aptos" w:hAnsi="Aptos"/>
          <w:szCs w:val="24"/>
        </w:rPr>
        <w:t>, states “The use of pharmaceutical-grade chemicals and other substances ensures that toxic and unwanted side effects are not introduced into studies conducted with experimental animals. They should therefore be used, when available, for all animal-related procedures (USDA 1997b). The use of non-pharmaceutical grade chemicals or substances should be described and justified in the animal use protocol and be approved by the IACUC (Wolff et al. 2003). In such instances, consideration should be given to the grade, purity, sterility, pH, pyrogenicity, osmolarity, stability, site and route of administration, formulation, compatibility, and pharmacokinetics of the chemical or substance to be administered, as well as animal welfare and scientific issues relating to its use (NIH 2008).”</w:t>
      </w:r>
    </w:p>
    <w:p w14:paraId="0FCE24CB" w14:textId="77777777" w:rsidR="00977742" w:rsidRPr="00007712" w:rsidRDefault="00977742" w:rsidP="00977742">
      <w:pPr>
        <w:autoSpaceDE w:val="0"/>
        <w:autoSpaceDN w:val="0"/>
        <w:adjustRightInd w:val="0"/>
        <w:jc w:val="both"/>
        <w:rPr>
          <w:rFonts w:ascii="Aptos" w:hAnsi="Aptos"/>
          <w:color w:val="FF0000"/>
          <w:szCs w:val="24"/>
        </w:rPr>
      </w:pPr>
    </w:p>
    <w:p w14:paraId="726637CA" w14:textId="77777777" w:rsidR="00977742" w:rsidRPr="00007712" w:rsidRDefault="00977742" w:rsidP="00977742">
      <w:pPr>
        <w:autoSpaceDE w:val="0"/>
        <w:autoSpaceDN w:val="0"/>
        <w:adjustRightInd w:val="0"/>
        <w:jc w:val="both"/>
        <w:rPr>
          <w:rFonts w:ascii="Aptos" w:hAnsi="Aptos"/>
          <w:szCs w:val="24"/>
        </w:rPr>
      </w:pPr>
      <w:r w:rsidRPr="00007712">
        <w:rPr>
          <w:rFonts w:ascii="Aptos" w:hAnsi="Aptos"/>
          <w:szCs w:val="24"/>
        </w:rPr>
        <w:t xml:space="preserve">OLAW and USDA define pharmaceutical grade substance as any active or inactive drug, biologic, reagent, etc. approved by the Food and Drug Administration (FDA), or for which a chemical purity standard has been established by the United States Pharmacopeia-National Formulary (USP-NF) or British Pharmacopeia (BP). The following links can be used to search for pharmaceutical grade substances: </w:t>
      </w:r>
    </w:p>
    <w:p w14:paraId="56773B7D" w14:textId="77777777" w:rsidR="00977742" w:rsidRPr="00007712" w:rsidRDefault="00977742" w:rsidP="00977742">
      <w:pPr>
        <w:pStyle w:val="ListParagraph"/>
        <w:numPr>
          <w:ilvl w:val="0"/>
          <w:numId w:val="3"/>
        </w:numPr>
        <w:autoSpaceDE w:val="0"/>
        <w:autoSpaceDN w:val="0"/>
        <w:adjustRightInd w:val="0"/>
        <w:jc w:val="both"/>
        <w:rPr>
          <w:rFonts w:ascii="Aptos" w:hAnsi="Aptos"/>
          <w:color w:val="FF0000"/>
          <w:szCs w:val="24"/>
        </w:rPr>
      </w:pPr>
      <w:r w:rsidRPr="00007712">
        <w:rPr>
          <w:rFonts w:ascii="Aptos" w:hAnsi="Aptos"/>
          <w:szCs w:val="24"/>
        </w:rPr>
        <w:t>Human Drugs FDA:</w:t>
      </w:r>
      <w:r w:rsidRPr="00007712">
        <w:rPr>
          <w:rFonts w:ascii="Aptos" w:hAnsi="Aptos"/>
          <w:color w:val="FF0000"/>
          <w:szCs w:val="24"/>
        </w:rPr>
        <w:t xml:space="preserve"> </w:t>
      </w:r>
      <w:hyperlink r:id="rId5" w:history="1">
        <w:r w:rsidRPr="00007712">
          <w:rPr>
            <w:rStyle w:val="Hyperlink"/>
            <w:rFonts w:ascii="Aptos" w:hAnsi="Aptos"/>
            <w:szCs w:val="24"/>
          </w:rPr>
          <w:t>http://www.accessdata.fda.gov/scripts/cder/daf/</w:t>
        </w:r>
      </w:hyperlink>
      <w:r w:rsidRPr="00007712">
        <w:rPr>
          <w:rFonts w:ascii="Aptos" w:hAnsi="Aptos"/>
          <w:color w:val="FF0000"/>
          <w:szCs w:val="24"/>
        </w:rPr>
        <w:t xml:space="preserve"> </w:t>
      </w:r>
    </w:p>
    <w:p w14:paraId="37321509" w14:textId="77777777" w:rsidR="00977742" w:rsidRPr="00007712" w:rsidRDefault="00977742" w:rsidP="00977742">
      <w:pPr>
        <w:pStyle w:val="ListParagraph"/>
        <w:numPr>
          <w:ilvl w:val="0"/>
          <w:numId w:val="3"/>
        </w:numPr>
        <w:autoSpaceDE w:val="0"/>
        <w:autoSpaceDN w:val="0"/>
        <w:adjustRightInd w:val="0"/>
        <w:jc w:val="both"/>
        <w:rPr>
          <w:rStyle w:val="Hyperlink"/>
          <w:rFonts w:ascii="Aptos" w:hAnsi="Aptos"/>
          <w:color w:val="FF0000"/>
          <w:szCs w:val="24"/>
        </w:rPr>
      </w:pPr>
      <w:r w:rsidRPr="00007712">
        <w:rPr>
          <w:rFonts w:ascii="Aptos" w:hAnsi="Aptos"/>
          <w:szCs w:val="24"/>
        </w:rPr>
        <w:t>Animal Drugs FDA:</w:t>
      </w:r>
      <w:r w:rsidRPr="00007712">
        <w:rPr>
          <w:rFonts w:ascii="Aptos" w:hAnsi="Aptos"/>
          <w:color w:val="FF0000"/>
          <w:szCs w:val="24"/>
        </w:rPr>
        <w:t xml:space="preserve"> </w:t>
      </w:r>
      <w:hyperlink r:id="rId6" w:anchor="/search" w:history="1">
        <w:r w:rsidRPr="00007712">
          <w:rPr>
            <w:rStyle w:val="Hyperlink"/>
            <w:rFonts w:ascii="Aptos" w:hAnsi="Aptos"/>
            <w:szCs w:val="24"/>
          </w:rPr>
          <w:t>https://animaldrugsatfda.fda.gov/adafda/views/#/search</w:t>
        </w:r>
      </w:hyperlink>
    </w:p>
    <w:p w14:paraId="175DBFF5" w14:textId="77777777" w:rsidR="00977742" w:rsidRPr="00007712" w:rsidRDefault="00977742" w:rsidP="00977742">
      <w:pPr>
        <w:pStyle w:val="ListParagraph"/>
        <w:numPr>
          <w:ilvl w:val="0"/>
          <w:numId w:val="3"/>
        </w:numPr>
        <w:autoSpaceDE w:val="0"/>
        <w:autoSpaceDN w:val="0"/>
        <w:adjustRightInd w:val="0"/>
        <w:jc w:val="both"/>
        <w:rPr>
          <w:rStyle w:val="Hyperlink"/>
          <w:rFonts w:ascii="Aptos" w:hAnsi="Aptos"/>
          <w:color w:val="FF0000"/>
          <w:szCs w:val="24"/>
        </w:rPr>
      </w:pPr>
      <w:r w:rsidRPr="00007712">
        <w:rPr>
          <w:rStyle w:val="Hyperlink"/>
          <w:rFonts w:ascii="Aptos" w:hAnsi="Aptos"/>
          <w:szCs w:val="24"/>
        </w:rPr>
        <w:t xml:space="preserve">US Pharmacopeia-National Formulary (USP-NF): </w:t>
      </w:r>
      <w:hyperlink r:id="rId7" w:history="1">
        <w:r w:rsidRPr="00007712">
          <w:rPr>
            <w:rStyle w:val="Hyperlink"/>
            <w:rFonts w:ascii="Aptos" w:hAnsi="Aptos"/>
            <w:szCs w:val="24"/>
          </w:rPr>
          <w:t>http://www.usp.org/usp-nf</w:t>
        </w:r>
      </w:hyperlink>
      <w:r w:rsidRPr="00007712">
        <w:rPr>
          <w:rStyle w:val="Hyperlink"/>
          <w:rFonts w:ascii="Aptos" w:hAnsi="Aptos"/>
          <w:szCs w:val="24"/>
        </w:rPr>
        <w:t xml:space="preserve"> *</w:t>
      </w:r>
    </w:p>
    <w:p w14:paraId="0299CAA3" w14:textId="77777777" w:rsidR="00977742" w:rsidRPr="00007712" w:rsidRDefault="00977742" w:rsidP="00977742">
      <w:pPr>
        <w:pStyle w:val="ListParagraph"/>
        <w:numPr>
          <w:ilvl w:val="0"/>
          <w:numId w:val="3"/>
        </w:numPr>
        <w:autoSpaceDE w:val="0"/>
        <w:autoSpaceDN w:val="0"/>
        <w:adjustRightInd w:val="0"/>
        <w:jc w:val="both"/>
        <w:rPr>
          <w:rStyle w:val="Hyperlink"/>
          <w:rFonts w:ascii="Aptos" w:hAnsi="Aptos"/>
          <w:szCs w:val="24"/>
        </w:rPr>
      </w:pPr>
      <w:r w:rsidRPr="00007712">
        <w:rPr>
          <w:rStyle w:val="Hyperlink"/>
          <w:rFonts w:ascii="Aptos" w:hAnsi="Aptos"/>
          <w:szCs w:val="24"/>
        </w:rPr>
        <w:t>British Pharmacopeia:</w:t>
      </w:r>
      <w:r w:rsidRPr="00007712">
        <w:rPr>
          <w:rStyle w:val="Hyperlink"/>
          <w:rFonts w:ascii="Aptos" w:hAnsi="Aptos"/>
          <w:color w:val="FF0000"/>
          <w:szCs w:val="24"/>
        </w:rPr>
        <w:t xml:space="preserve"> </w:t>
      </w:r>
      <w:hyperlink r:id="rId8" w:history="1">
        <w:r w:rsidRPr="00007712">
          <w:rPr>
            <w:rStyle w:val="Hyperlink"/>
            <w:rFonts w:ascii="Aptos" w:hAnsi="Aptos"/>
            <w:szCs w:val="24"/>
          </w:rPr>
          <w:t>https://www.pharmacopoeia.com/</w:t>
        </w:r>
      </w:hyperlink>
      <w:r w:rsidRPr="00007712">
        <w:rPr>
          <w:rStyle w:val="Hyperlink"/>
          <w:rFonts w:ascii="Aptos" w:hAnsi="Aptos"/>
          <w:color w:val="FF0000"/>
          <w:szCs w:val="24"/>
        </w:rPr>
        <w:t xml:space="preserve"> </w:t>
      </w:r>
      <w:r w:rsidRPr="00007712">
        <w:rPr>
          <w:rStyle w:val="Hyperlink"/>
          <w:rFonts w:ascii="Aptos" w:hAnsi="Aptos"/>
          <w:szCs w:val="24"/>
        </w:rPr>
        <w:t>*</w:t>
      </w:r>
    </w:p>
    <w:p w14:paraId="60FF7E45" w14:textId="77777777" w:rsidR="00977742" w:rsidRPr="00007712" w:rsidRDefault="00977742" w:rsidP="00977742">
      <w:pPr>
        <w:pStyle w:val="ListParagraph"/>
        <w:autoSpaceDE w:val="0"/>
        <w:autoSpaceDN w:val="0"/>
        <w:adjustRightInd w:val="0"/>
        <w:ind w:left="900"/>
        <w:jc w:val="both"/>
        <w:rPr>
          <w:rStyle w:val="Hyperlink"/>
          <w:rFonts w:ascii="Aptos" w:hAnsi="Aptos"/>
          <w:i/>
          <w:szCs w:val="24"/>
        </w:rPr>
      </w:pPr>
      <w:r w:rsidRPr="00007712">
        <w:rPr>
          <w:rStyle w:val="Hyperlink"/>
          <w:rFonts w:ascii="Aptos" w:hAnsi="Aptos"/>
          <w:i/>
          <w:szCs w:val="24"/>
        </w:rPr>
        <w:lastRenderedPageBreak/>
        <w:t>* USP-NF &amp; BP both require paid subscriptions.</w:t>
      </w:r>
    </w:p>
    <w:p w14:paraId="449BF99B" w14:textId="77777777" w:rsidR="00977742" w:rsidRPr="00007712" w:rsidRDefault="00977742" w:rsidP="00977742">
      <w:pPr>
        <w:autoSpaceDE w:val="0"/>
        <w:autoSpaceDN w:val="0"/>
        <w:adjustRightInd w:val="0"/>
        <w:jc w:val="both"/>
        <w:rPr>
          <w:rFonts w:ascii="Aptos" w:hAnsi="Aptos"/>
          <w:b/>
          <w:sz w:val="14"/>
          <w:szCs w:val="14"/>
        </w:rPr>
      </w:pPr>
    </w:p>
    <w:p w14:paraId="2EC3864D" w14:textId="77777777" w:rsidR="00977742" w:rsidRPr="00007712" w:rsidRDefault="00977742" w:rsidP="00977742">
      <w:pPr>
        <w:autoSpaceDE w:val="0"/>
        <w:autoSpaceDN w:val="0"/>
        <w:adjustRightInd w:val="0"/>
        <w:jc w:val="both"/>
        <w:rPr>
          <w:rFonts w:ascii="Aptos" w:hAnsi="Aptos"/>
          <w:b/>
          <w:szCs w:val="24"/>
        </w:rPr>
      </w:pPr>
      <w:r w:rsidRPr="00007712">
        <w:rPr>
          <w:rFonts w:ascii="Aptos" w:hAnsi="Aptos"/>
          <w:b/>
          <w:szCs w:val="24"/>
        </w:rPr>
        <w:t xml:space="preserve">Policy </w:t>
      </w:r>
    </w:p>
    <w:p w14:paraId="1E040D65" w14:textId="77777777" w:rsidR="00977742" w:rsidRPr="00007712" w:rsidRDefault="00977742" w:rsidP="00977742">
      <w:pPr>
        <w:autoSpaceDE w:val="0"/>
        <w:autoSpaceDN w:val="0"/>
        <w:adjustRightInd w:val="0"/>
        <w:jc w:val="both"/>
        <w:rPr>
          <w:rFonts w:ascii="Aptos" w:hAnsi="Aptos" w:cs="Arial"/>
          <w:b/>
          <w:szCs w:val="24"/>
        </w:rPr>
      </w:pPr>
      <w:r w:rsidRPr="00007712">
        <w:rPr>
          <w:rFonts w:ascii="Aptos" w:hAnsi="Aptos"/>
          <w:szCs w:val="24"/>
        </w:rPr>
        <w:t xml:space="preserve">Investigators must use pharmaceutical-grade substances whenever they are available, unless justification to use NPG substances is approved by the IACUC. Please note, justification to use NPG substances in </w:t>
      </w:r>
      <w:r w:rsidRPr="00007712">
        <w:rPr>
          <w:rFonts w:ascii="Aptos" w:hAnsi="Aptos"/>
          <w:i/>
          <w:iCs/>
          <w:szCs w:val="24"/>
        </w:rPr>
        <w:t>terminal</w:t>
      </w:r>
      <w:r w:rsidRPr="00007712">
        <w:rPr>
          <w:rFonts w:ascii="Aptos" w:hAnsi="Aptos"/>
          <w:szCs w:val="24"/>
        </w:rPr>
        <w:t xml:space="preserve"> procedures is </w:t>
      </w:r>
      <w:r w:rsidRPr="00007712">
        <w:rPr>
          <w:rFonts w:ascii="Aptos" w:hAnsi="Aptos"/>
          <w:i/>
          <w:iCs/>
          <w:szCs w:val="24"/>
        </w:rPr>
        <w:t>only</w:t>
      </w:r>
      <w:r w:rsidRPr="00007712">
        <w:rPr>
          <w:rFonts w:ascii="Aptos" w:hAnsi="Aptos"/>
          <w:szCs w:val="24"/>
        </w:rPr>
        <w:t xml:space="preserve"> required for USDA regulated species. Cost savings alone is not an adequate justification.</w:t>
      </w:r>
    </w:p>
    <w:p w14:paraId="1C8291DE" w14:textId="77777777" w:rsidR="00977742" w:rsidRPr="00007712" w:rsidRDefault="00977742" w:rsidP="00977742">
      <w:pPr>
        <w:jc w:val="both"/>
        <w:rPr>
          <w:rFonts w:ascii="Aptos" w:hAnsi="Aptos" w:cs="Arial"/>
          <w:sz w:val="16"/>
          <w:szCs w:val="24"/>
        </w:rPr>
      </w:pPr>
    </w:p>
    <w:p w14:paraId="5822B1A3" w14:textId="77777777" w:rsidR="00977742" w:rsidRPr="00007712" w:rsidRDefault="00977742" w:rsidP="00977742">
      <w:pPr>
        <w:jc w:val="both"/>
        <w:rPr>
          <w:rFonts w:ascii="Aptos" w:hAnsi="Aptos" w:cs="Arial"/>
          <w:szCs w:val="24"/>
          <w:u w:val="single"/>
        </w:rPr>
      </w:pPr>
      <w:r w:rsidRPr="00007712">
        <w:rPr>
          <w:rFonts w:ascii="Aptos" w:hAnsi="Aptos"/>
          <w:szCs w:val="24"/>
          <w:u w:val="single"/>
        </w:rPr>
        <w:t>Acceptable justifications for the use of NPG substances</w:t>
      </w:r>
    </w:p>
    <w:p w14:paraId="460598B3" w14:textId="77777777" w:rsidR="00977742" w:rsidRPr="00007712" w:rsidRDefault="00977742" w:rsidP="00977742">
      <w:pPr>
        <w:pStyle w:val="ListParagraph"/>
        <w:widowControl/>
        <w:numPr>
          <w:ilvl w:val="0"/>
          <w:numId w:val="1"/>
        </w:numPr>
        <w:jc w:val="both"/>
        <w:rPr>
          <w:rFonts w:ascii="Aptos" w:hAnsi="Aptos" w:cs="Arial"/>
          <w:szCs w:val="24"/>
        </w:rPr>
      </w:pPr>
      <w:r w:rsidRPr="00007712">
        <w:rPr>
          <w:rFonts w:ascii="Aptos" w:hAnsi="Aptos" w:cs="Arial"/>
          <w:szCs w:val="24"/>
        </w:rPr>
        <w:t xml:space="preserve">The substance is unavailable or is not consistently available, in a pharmaceutical-grade veterinary or human formulation.  Examples include, but are not limited to: </w:t>
      </w:r>
    </w:p>
    <w:p w14:paraId="5FBFE6BD" w14:textId="77777777" w:rsidR="00977742" w:rsidRPr="00007712" w:rsidRDefault="00977742" w:rsidP="00977742">
      <w:pPr>
        <w:pStyle w:val="ListParagraph"/>
        <w:widowControl/>
        <w:numPr>
          <w:ilvl w:val="0"/>
          <w:numId w:val="2"/>
        </w:numPr>
        <w:ind w:left="1260" w:hanging="270"/>
        <w:jc w:val="both"/>
        <w:rPr>
          <w:rFonts w:ascii="Aptos" w:hAnsi="Aptos" w:cs="Arial"/>
          <w:szCs w:val="24"/>
        </w:rPr>
      </w:pPr>
      <w:proofErr w:type="spellStart"/>
      <w:r w:rsidRPr="00007712">
        <w:rPr>
          <w:rFonts w:ascii="Aptos" w:hAnsi="Aptos" w:cs="Arial"/>
          <w:szCs w:val="24"/>
        </w:rPr>
        <w:t>Euthasol</w:t>
      </w:r>
      <w:proofErr w:type="spellEnd"/>
      <w:r w:rsidRPr="00007712">
        <w:rPr>
          <w:rFonts w:ascii="Aptos" w:hAnsi="Aptos" w:cs="Arial"/>
          <w:szCs w:val="24"/>
        </w:rPr>
        <w:t xml:space="preserve"> or Fatal Plus</w:t>
      </w:r>
    </w:p>
    <w:p w14:paraId="6003C716" w14:textId="77777777" w:rsidR="00977742" w:rsidRPr="00007712" w:rsidRDefault="00977742" w:rsidP="00977742">
      <w:pPr>
        <w:pStyle w:val="ListParagraph"/>
        <w:widowControl/>
        <w:numPr>
          <w:ilvl w:val="0"/>
          <w:numId w:val="2"/>
        </w:numPr>
        <w:ind w:left="1260" w:hanging="270"/>
        <w:jc w:val="both"/>
        <w:rPr>
          <w:rFonts w:ascii="Aptos" w:hAnsi="Aptos" w:cs="Arial"/>
          <w:szCs w:val="24"/>
        </w:rPr>
      </w:pPr>
      <w:r w:rsidRPr="00007712">
        <w:rPr>
          <w:rFonts w:ascii="Aptos" w:hAnsi="Aptos" w:cs="Arial"/>
          <w:szCs w:val="24"/>
        </w:rPr>
        <w:t>Eugenol (clove oil), mineral oil, corn oil</w:t>
      </w:r>
    </w:p>
    <w:p w14:paraId="0BF97C73" w14:textId="77777777" w:rsidR="00977742" w:rsidRPr="00007712" w:rsidRDefault="00977742" w:rsidP="00977742">
      <w:pPr>
        <w:pStyle w:val="ListParagraph"/>
        <w:widowControl/>
        <w:numPr>
          <w:ilvl w:val="0"/>
          <w:numId w:val="2"/>
        </w:numPr>
        <w:ind w:left="1260" w:hanging="270"/>
        <w:jc w:val="both"/>
        <w:rPr>
          <w:rFonts w:ascii="Aptos" w:hAnsi="Aptos" w:cs="Arial"/>
          <w:szCs w:val="24"/>
        </w:rPr>
      </w:pPr>
      <w:r w:rsidRPr="00007712">
        <w:rPr>
          <w:rFonts w:ascii="Aptos" w:hAnsi="Aptos" w:cs="Arial"/>
          <w:szCs w:val="24"/>
        </w:rPr>
        <w:t>Investigational materials not approved for medical or veterinary use</w:t>
      </w:r>
    </w:p>
    <w:p w14:paraId="7D27F900" w14:textId="77777777" w:rsidR="00977742" w:rsidRPr="00007712" w:rsidRDefault="00977742" w:rsidP="00977742">
      <w:pPr>
        <w:pStyle w:val="ListParagraph"/>
        <w:widowControl/>
        <w:numPr>
          <w:ilvl w:val="0"/>
          <w:numId w:val="1"/>
        </w:numPr>
        <w:jc w:val="both"/>
        <w:rPr>
          <w:rFonts w:ascii="Aptos" w:hAnsi="Aptos" w:cs="Arial"/>
          <w:szCs w:val="24"/>
        </w:rPr>
      </w:pPr>
      <w:r w:rsidRPr="00007712">
        <w:rPr>
          <w:rFonts w:ascii="Aptos" w:hAnsi="Aptos" w:cs="Arial"/>
          <w:szCs w:val="24"/>
        </w:rPr>
        <w:t xml:space="preserve">Although a pharmaceutical grade drug is available, the NPG drug is required to replicate methods from previous studies. </w:t>
      </w:r>
    </w:p>
    <w:p w14:paraId="0188822B" w14:textId="77777777" w:rsidR="00977742" w:rsidRPr="00007712" w:rsidRDefault="00977742" w:rsidP="00977742">
      <w:pPr>
        <w:pStyle w:val="ListParagraph"/>
        <w:widowControl/>
        <w:numPr>
          <w:ilvl w:val="0"/>
          <w:numId w:val="1"/>
        </w:numPr>
        <w:jc w:val="both"/>
        <w:rPr>
          <w:rFonts w:ascii="Aptos" w:hAnsi="Aptos" w:cs="Arial"/>
          <w:szCs w:val="24"/>
        </w:rPr>
      </w:pPr>
      <w:r w:rsidRPr="00007712">
        <w:rPr>
          <w:rFonts w:ascii="Aptos" w:hAnsi="Aptos" w:cs="Arial"/>
          <w:szCs w:val="24"/>
        </w:rPr>
        <w:t>Although a pharmaceutical grade drug is available, a greater concentration, different formulation, or route of administration is required.</w:t>
      </w:r>
    </w:p>
    <w:p w14:paraId="6CF66730" w14:textId="77777777" w:rsidR="00977742" w:rsidRPr="00007712" w:rsidRDefault="00977742" w:rsidP="00977742">
      <w:pPr>
        <w:pStyle w:val="ListParagraph"/>
        <w:widowControl/>
        <w:numPr>
          <w:ilvl w:val="0"/>
          <w:numId w:val="1"/>
        </w:numPr>
        <w:jc w:val="both"/>
        <w:rPr>
          <w:rFonts w:ascii="Aptos" w:hAnsi="Aptos" w:cs="Arial"/>
          <w:szCs w:val="24"/>
        </w:rPr>
      </w:pPr>
      <w:r w:rsidRPr="00007712">
        <w:rPr>
          <w:rFonts w:ascii="Aptos" w:hAnsi="Aptos" w:cs="Arial"/>
          <w:szCs w:val="24"/>
        </w:rPr>
        <w:t>The available pharmaceutical grade drug contains preservatives or inactive ingredients which confound the research goals of the study.</w:t>
      </w:r>
    </w:p>
    <w:p w14:paraId="43E185CA" w14:textId="77777777" w:rsidR="00977742" w:rsidRPr="00007712" w:rsidRDefault="00977742" w:rsidP="00977742">
      <w:pPr>
        <w:jc w:val="both"/>
        <w:rPr>
          <w:rFonts w:ascii="Aptos" w:hAnsi="Aptos" w:cs="Arial"/>
          <w:sz w:val="16"/>
          <w:szCs w:val="24"/>
        </w:rPr>
      </w:pPr>
    </w:p>
    <w:p w14:paraId="3DD6643C" w14:textId="77777777" w:rsidR="00977742" w:rsidRPr="00007712" w:rsidRDefault="00977742" w:rsidP="00977742">
      <w:pPr>
        <w:autoSpaceDE w:val="0"/>
        <w:autoSpaceDN w:val="0"/>
        <w:adjustRightInd w:val="0"/>
        <w:jc w:val="both"/>
        <w:rPr>
          <w:rFonts w:ascii="Aptos" w:hAnsi="Aptos"/>
          <w:szCs w:val="24"/>
        </w:rPr>
      </w:pPr>
      <w:r w:rsidRPr="00007712">
        <w:rPr>
          <w:rFonts w:ascii="Aptos" w:hAnsi="Aptos"/>
          <w:szCs w:val="24"/>
        </w:rPr>
        <w:t xml:space="preserve">When NPG substances are necessary, the highest grade/purity available that meets the requirements of the study will be used and final product will be formulated to maintain sterility, stability, physiological compatibility, etc. Vials should be labeled with the name, date mixed, and earliest expiration date of the component drugs or diluents used (when known).  </w:t>
      </w:r>
    </w:p>
    <w:p w14:paraId="64D02112" w14:textId="77777777" w:rsidR="00977742" w:rsidRPr="00007712" w:rsidRDefault="00977742" w:rsidP="00977742">
      <w:pPr>
        <w:autoSpaceDE w:val="0"/>
        <w:autoSpaceDN w:val="0"/>
        <w:adjustRightInd w:val="0"/>
        <w:jc w:val="both"/>
        <w:rPr>
          <w:rFonts w:ascii="Aptos" w:hAnsi="Aptos"/>
          <w:szCs w:val="24"/>
        </w:rPr>
      </w:pPr>
    </w:p>
    <w:p w14:paraId="1F919020" w14:textId="77777777" w:rsidR="00977742" w:rsidRPr="00007712" w:rsidRDefault="00977742" w:rsidP="00977742">
      <w:pPr>
        <w:autoSpaceDE w:val="0"/>
        <w:autoSpaceDN w:val="0"/>
        <w:adjustRightInd w:val="0"/>
        <w:jc w:val="both"/>
        <w:rPr>
          <w:rFonts w:ascii="Aptos" w:hAnsi="Aptos"/>
          <w:szCs w:val="24"/>
          <w:u w:val="single"/>
        </w:rPr>
      </w:pPr>
      <w:r w:rsidRPr="00007712">
        <w:rPr>
          <w:rFonts w:ascii="Aptos" w:hAnsi="Aptos"/>
          <w:szCs w:val="24"/>
          <w:u w:val="single"/>
        </w:rPr>
        <w:t xml:space="preserve">Requirements for reconstituting NPG substances for parenteral use in survival studies: </w:t>
      </w:r>
    </w:p>
    <w:p w14:paraId="2E52D446" w14:textId="77777777" w:rsidR="00977742" w:rsidRPr="00007712" w:rsidRDefault="00977742" w:rsidP="00977742">
      <w:pPr>
        <w:pStyle w:val="ListParagraph"/>
        <w:widowControl/>
        <w:ind w:left="540"/>
        <w:contextualSpacing w:val="0"/>
        <w:rPr>
          <w:rFonts w:ascii="Aptos" w:hAnsi="Aptos"/>
          <w:sz w:val="6"/>
          <w:szCs w:val="24"/>
        </w:rPr>
      </w:pPr>
    </w:p>
    <w:p w14:paraId="3AA64132" w14:textId="77777777" w:rsidR="00977742" w:rsidRPr="00007712" w:rsidRDefault="00977742" w:rsidP="00977742">
      <w:pPr>
        <w:pStyle w:val="ListParagraph"/>
        <w:widowControl/>
        <w:numPr>
          <w:ilvl w:val="0"/>
          <w:numId w:val="4"/>
        </w:numPr>
        <w:ind w:left="540"/>
        <w:contextualSpacing w:val="0"/>
        <w:rPr>
          <w:rFonts w:ascii="Aptos" w:hAnsi="Aptos"/>
          <w:szCs w:val="24"/>
        </w:rPr>
      </w:pPr>
      <w:r w:rsidRPr="00007712">
        <w:rPr>
          <w:rFonts w:ascii="Aptos" w:hAnsi="Aptos"/>
          <w:szCs w:val="24"/>
        </w:rPr>
        <w:t xml:space="preserve">The final product must undergo sterilization (e.g. 0.22 </w:t>
      </w:r>
      <w:proofErr w:type="spellStart"/>
      <w:r w:rsidRPr="00007712">
        <w:rPr>
          <w:rFonts w:ascii="Aptos" w:hAnsi="Aptos"/>
          <w:szCs w:val="24"/>
        </w:rPr>
        <w:t>μm</w:t>
      </w:r>
      <w:proofErr w:type="spellEnd"/>
      <w:r w:rsidRPr="00007712">
        <w:rPr>
          <w:rFonts w:ascii="Aptos" w:hAnsi="Aptos"/>
          <w:szCs w:val="24"/>
        </w:rPr>
        <w:t xml:space="preserve"> filter, autoclaving, or gamma irradiation) prior to injection, unless justification is provided and approved by the IACUC.    </w:t>
      </w:r>
    </w:p>
    <w:p w14:paraId="171FE4BF" w14:textId="77777777" w:rsidR="00977742" w:rsidRPr="00007712" w:rsidRDefault="00977742" w:rsidP="00977742">
      <w:pPr>
        <w:pStyle w:val="ListParagraph"/>
        <w:widowControl/>
        <w:numPr>
          <w:ilvl w:val="0"/>
          <w:numId w:val="4"/>
        </w:numPr>
        <w:ind w:left="540"/>
        <w:contextualSpacing w:val="0"/>
        <w:rPr>
          <w:rFonts w:ascii="Aptos" w:hAnsi="Aptos"/>
          <w:szCs w:val="24"/>
        </w:rPr>
      </w:pPr>
      <w:r w:rsidRPr="00007712">
        <w:rPr>
          <w:rFonts w:ascii="Aptos" w:hAnsi="Aptos"/>
          <w:szCs w:val="24"/>
        </w:rPr>
        <w:t xml:space="preserve">Compounds must be reconstituted using aseptic technique and final product administered using sterile supplies (e.g. needles/syringes). </w:t>
      </w:r>
    </w:p>
    <w:p w14:paraId="3D973519" w14:textId="77777777" w:rsidR="00977742" w:rsidRPr="00007712" w:rsidRDefault="00977742" w:rsidP="00977742">
      <w:pPr>
        <w:pStyle w:val="ListParagraph"/>
        <w:widowControl/>
        <w:numPr>
          <w:ilvl w:val="0"/>
          <w:numId w:val="4"/>
        </w:numPr>
        <w:ind w:left="540"/>
        <w:contextualSpacing w:val="0"/>
        <w:rPr>
          <w:rFonts w:ascii="Aptos" w:hAnsi="Aptos"/>
          <w:szCs w:val="24"/>
        </w:rPr>
      </w:pPr>
      <w:r w:rsidRPr="00007712">
        <w:rPr>
          <w:rFonts w:ascii="Aptos" w:hAnsi="Aptos"/>
          <w:szCs w:val="24"/>
        </w:rPr>
        <w:t xml:space="preserve">Water and/or any diluent used for reconstitution must be sterile/pharmaceutical grade. </w:t>
      </w:r>
    </w:p>
    <w:p w14:paraId="7158D09E" w14:textId="77777777" w:rsidR="00977742" w:rsidRPr="00007712" w:rsidRDefault="00977742" w:rsidP="00977742">
      <w:pPr>
        <w:rPr>
          <w:rFonts w:ascii="Aptos" w:hAnsi="Aptos"/>
          <w:b/>
          <w:szCs w:val="24"/>
          <w:u w:val="single"/>
        </w:rPr>
      </w:pPr>
    </w:p>
    <w:p w14:paraId="77482C84" w14:textId="68AE025C" w:rsidR="00977742" w:rsidRPr="00007712" w:rsidRDefault="00A62873" w:rsidP="00977742">
      <w:pPr>
        <w:rPr>
          <w:rFonts w:ascii="Aptos" w:hAnsi="Aptos"/>
          <w:b/>
          <w:szCs w:val="24"/>
          <w:u w:val="single"/>
        </w:rPr>
      </w:pPr>
      <w:r w:rsidRPr="00007712">
        <w:rPr>
          <w:rFonts w:ascii="Aptos" w:hAnsi="Aptos"/>
          <w:b/>
          <w:szCs w:val="24"/>
          <w:u w:val="single"/>
        </w:rPr>
        <w:t xml:space="preserve">Use Of Expired Medical Materials </w:t>
      </w:r>
      <w:proofErr w:type="gramStart"/>
      <w:r w:rsidRPr="00007712">
        <w:rPr>
          <w:rFonts w:ascii="Aptos" w:hAnsi="Aptos"/>
          <w:b/>
          <w:szCs w:val="24"/>
          <w:u w:val="single"/>
        </w:rPr>
        <w:t>In</w:t>
      </w:r>
      <w:proofErr w:type="gramEnd"/>
      <w:r w:rsidRPr="00007712">
        <w:rPr>
          <w:rFonts w:ascii="Aptos" w:hAnsi="Aptos"/>
          <w:b/>
          <w:szCs w:val="24"/>
          <w:u w:val="single"/>
        </w:rPr>
        <w:t xml:space="preserve"> Research</w:t>
      </w:r>
    </w:p>
    <w:p w14:paraId="26E0AC2E" w14:textId="77777777" w:rsidR="00977742" w:rsidRPr="00007712" w:rsidRDefault="00977742" w:rsidP="00977742">
      <w:pPr>
        <w:rPr>
          <w:rFonts w:ascii="Aptos" w:hAnsi="Aptos"/>
          <w:szCs w:val="24"/>
        </w:rPr>
      </w:pPr>
      <w:r w:rsidRPr="00007712">
        <w:rPr>
          <w:rFonts w:ascii="Aptos" w:hAnsi="Aptos"/>
          <w:szCs w:val="24"/>
        </w:rPr>
        <w:lastRenderedPageBreak/>
        <w:t xml:space="preserve">The United States Department of Agriculture (USDA) Animal Care Policy #3 specifically states, “The use of expired medical materials such as drugs, fluids, or sutures on regulated animals is not considered to be acceptable veterinary practice and does not constitute adequate veterinary care, as required by the regulations promulgated under the Animal Welfare Act.” The Office for Laboratory Animal Welfare (OLAW) provides similar requirements, stating, “The use of expired pharmaceuticals, biologics, and supplies is not consistent with acceptable veterinary practice or adequate veterinary care. Euthanasia, anesthesia and analgesia agents should not be used beyond their expiration date, even if a procedure is terminal. Other expired materials should not be used unless the manufacturer verifies efficacy beyond the expiration date, or the investigator is able to document to the satisfaction of the IACUC that such use would not negatively impact animal welfare or compromise the validity of the study. The veterinarian and IACUC must maintain control over the use of expired medical materials </w:t>
      </w:r>
      <w:proofErr w:type="gramStart"/>
      <w:r w:rsidRPr="00007712">
        <w:rPr>
          <w:rFonts w:ascii="Aptos" w:hAnsi="Aptos"/>
          <w:szCs w:val="24"/>
        </w:rPr>
        <w:t>in order to</w:t>
      </w:r>
      <w:proofErr w:type="gramEnd"/>
      <w:r w:rsidRPr="00007712">
        <w:rPr>
          <w:rFonts w:ascii="Aptos" w:hAnsi="Aptos"/>
          <w:szCs w:val="24"/>
        </w:rPr>
        <w:t xml:space="preserve"> meet their responsibilities to avoid or minimize discomfort, pain or distress to animals.”  </w:t>
      </w:r>
    </w:p>
    <w:p w14:paraId="143A2DAA" w14:textId="77777777" w:rsidR="00977742" w:rsidRPr="00007712" w:rsidRDefault="00977742" w:rsidP="00977742">
      <w:pPr>
        <w:rPr>
          <w:rFonts w:ascii="Aptos" w:hAnsi="Aptos"/>
          <w:szCs w:val="24"/>
        </w:rPr>
      </w:pPr>
    </w:p>
    <w:p w14:paraId="16F69B24" w14:textId="77777777" w:rsidR="00977742" w:rsidRPr="00007712" w:rsidRDefault="00977742" w:rsidP="00977742">
      <w:pPr>
        <w:rPr>
          <w:rFonts w:ascii="Aptos" w:hAnsi="Aptos"/>
          <w:b/>
          <w:bCs/>
          <w:szCs w:val="24"/>
        </w:rPr>
      </w:pPr>
      <w:r w:rsidRPr="00007712">
        <w:rPr>
          <w:rFonts w:ascii="Aptos" w:hAnsi="Aptos"/>
          <w:b/>
          <w:bCs/>
          <w:szCs w:val="24"/>
        </w:rPr>
        <w:t>Policy</w:t>
      </w:r>
    </w:p>
    <w:p w14:paraId="0DAA7964" w14:textId="77777777" w:rsidR="00977742" w:rsidRPr="00007712" w:rsidRDefault="00977742" w:rsidP="00977742">
      <w:pPr>
        <w:rPr>
          <w:rFonts w:ascii="Aptos" w:hAnsi="Aptos" w:cs="Arial"/>
          <w:szCs w:val="24"/>
        </w:rPr>
      </w:pPr>
      <w:r w:rsidRPr="00007712">
        <w:rPr>
          <w:rFonts w:ascii="Aptos" w:hAnsi="Aptos"/>
          <w:szCs w:val="24"/>
        </w:rPr>
        <w:t>The use of expired anesthetics, analgesics, tranquilizers, emergency drugs, or euthanasia agents is NOT allowed.  The use of other expired medical materials, (i.e., sutures, saline) are permissible for terminal studies IF their use does not adversely affect the animal’s well-being or compromise the validity of the scientific study. Such materials must be labeled appropriately (i.e., “For Acute Use Only”) and segregated from other medical materials.</w:t>
      </w:r>
    </w:p>
    <w:p w14:paraId="721A6062" w14:textId="77777777" w:rsidR="008674A5" w:rsidRPr="00007712" w:rsidRDefault="008674A5" w:rsidP="00977742">
      <w:pPr>
        <w:rPr>
          <w:rFonts w:ascii="Aptos" w:hAnsi="Aptos"/>
        </w:rPr>
      </w:pPr>
    </w:p>
    <w:sectPr w:rsidR="008674A5" w:rsidRPr="00007712" w:rsidSect="007454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ew York">
    <w:altName w:val="Times New Roman"/>
    <w:panose1 w:val="020B0604020202020204"/>
    <w:charset w:val="4D"/>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D79DF"/>
    <w:multiLevelType w:val="hybridMultilevel"/>
    <w:tmpl w:val="4A32ED36"/>
    <w:lvl w:ilvl="0" w:tplc="B7BE8EDE">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185E16"/>
    <w:multiLevelType w:val="hybridMultilevel"/>
    <w:tmpl w:val="AC7CA2AA"/>
    <w:lvl w:ilvl="0" w:tplc="FDA40686">
      <w:start w:val="2"/>
      <w:numFmt w:val="bullet"/>
      <w:lvlText w:val="-"/>
      <w:lvlJc w:val="left"/>
      <w:pPr>
        <w:ind w:left="1080" w:hanging="360"/>
      </w:pPr>
      <w:rPr>
        <w:rFonts w:ascii="Calibri" w:eastAsia="Times New Roman"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67E62DF"/>
    <w:multiLevelType w:val="hybridMultilevel"/>
    <w:tmpl w:val="D034F550"/>
    <w:lvl w:ilvl="0" w:tplc="BEBA846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BD2A24"/>
    <w:multiLevelType w:val="hybridMultilevel"/>
    <w:tmpl w:val="EEF6DCCC"/>
    <w:lvl w:ilvl="0" w:tplc="3E768A8E">
      <w:start w:val="1"/>
      <w:numFmt w:val="bullet"/>
      <w:lvlText w:val=""/>
      <w:lvlJc w:val="left"/>
      <w:pPr>
        <w:ind w:left="900" w:hanging="360"/>
      </w:pPr>
      <w:rPr>
        <w:rFonts w:ascii="Symbol" w:hAnsi="Symbol" w:hint="default"/>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1855609600">
    <w:abstractNumId w:val="2"/>
  </w:num>
  <w:num w:numId="2" w16cid:durableId="252009231">
    <w:abstractNumId w:val="1"/>
  </w:num>
  <w:num w:numId="3" w16cid:durableId="1949853045">
    <w:abstractNumId w:val="3"/>
  </w:num>
  <w:num w:numId="4" w16cid:durableId="870387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4A5"/>
    <w:rsid w:val="00007712"/>
    <w:rsid w:val="000168E7"/>
    <w:rsid w:val="00085E02"/>
    <w:rsid w:val="001A11CF"/>
    <w:rsid w:val="001E0A7C"/>
    <w:rsid w:val="00215C74"/>
    <w:rsid w:val="002A3770"/>
    <w:rsid w:val="003131C2"/>
    <w:rsid w:val="0037630A"/>
    <w:rsid w:val="0039420B"/>
    <w:rsid w:val="003C134F"/>
    <w:rsid w:val="00432B4C"/>
    <w:rsid w:val="004B24DC"/>
    <w:rsid w:val="004C2214"/>
    <w:rsid w:val="004E1181"/>
    <w:rsid w:val="005811BE"/>
    <w:rsid w:val="005A1C24"/>
    <w:rsid w:val="005F76CD"/>
    <w:rsid w:val="006C0E25"/>
    <w:rsid w:val="006E146B"/>
    <w:rsid w:val="006F57FC"/>
    <w:rsid w:val="007337C4"/>
    <w:rsid w:val="00745417"/>
    <w:rsid w:val="0080160D"/>
    <w:rsid w:val="00805CAD"/>
    <w:rsid w:val="00855FBF"/>
    <w:rsid w:val="008674A5"/>
    <w:rsid w:val="008C7AC4"/>
    <w:rsid w:val="008E493B"/>
    <w:rsid w:val="00977742"/>
    <w:rsid w:val="009B6B52"/>
    <w:rsid w:val="00A21ECE"/>
    <w:rsid w:val="00A47877"/>
    <w:rsid w:val="00A62873"/>
    <w:rsid w:val="00AA4FBE"/>
    <w:rsid w:val="00B27103"/>
    <w:rsid w:val="00B96393"/>
    <w:rsid w:val="00C2397B"/>
    <w:rsid w:val="00CD1CC0"/>
    <w:rsid w:val="00DD0FC3"/>
    <w:rsid w:val="00DD31A2"/>
    <w:rsid w:val="00E033B1"/>
    <w:rsid w:val="00E34A04"/>
    <w:rsid w:val="00ED1A93"/>
    <w:rsid w:val="00ED3191"/>
    <w:rsid w:val="00F33D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5F1CD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417"/>
  </w:style>
  <w:style w:type="paragraph" w:styleId="Heading1">
    <w:name w:val="heading 1"/>
    <w:basedOn w:val="Normal"/>
    <w:next w:val="Normal"/>
    <w:link w:val="Heading1Char"/>
    <w:qFormat/>
    <w:rsid w:val="00E34A04"/>
    <w:pPr>
      <w:keepNext/>
      <w:spacing w:after="0" w:line="240" w:lineRule="auto"/>
      <w:ind w:left="180"/>
      <w:jc w:val="center"/>
      <w:outlineLvl w:val="0"/>
    </w:pPr>
    <w:rPr>
      <w:rFonts w:ascii="New York" w:eastAsia="Times New Roman" w:hAnsi="New York" w:cs="Times New Roman"/>
      <w:b/>
      <w:sz w:val="24"/>
      <w:szCs w:val="20"/>
    </w:rPr>
  </w:style>
  <w:style w:type="paragraph" w:styleId="Heading2">
    <w:name w:val="heading 2"/>
    <w:basedOn w:val="Normal"/>
    <w:next w:val="Normal"/>
    <w:link w:val="Heading2Char"/>
    <w:uiPriority w:val="9"/>
    <w:unhideWhenUsed/>
    <w:qFormat/>
    <w:rsid w:val="00E34A04"/>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34A04"/>
    <w:pPr>
      <w:keepNext/>
      <w:keepLines/>
      <w:spacing w:before="200" w:after="0" w:line="240" w:lineRule="auto"/>
      <w:outlineLvl w:val="2"/>
    </w:pPr>
    <w:rPr>
      <w:rFonts w:asciiTheme="majorHAnsi" w:eastAsiaTheme="majorEastAsia" w:hAnsiTheme="majorHAnsi" w:cstheme="majorBidi"/>
      <w:b/>
      <w:bCs/>
      <w:color w:val="4F81BD" w:themeColor="accent1"/>
      <w:sz w:val="20"/>
      <w:szCs w:val="20"/>
    </w:rPr>
  </w:style>
  <w:style w:type="paragraph" w:styleId="Heading9">
    <w:name w:val="heading 9"/>
    <w:basedOn w:val="Normal"/>
    <w:next w:val="Normal"/>
    <w:link w:val="Heading9Char"/>
    <w:unhideWhenUsed/>
    <w:qFormat/>
    <w:rsid w:val="003131C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674A5"/>
    <w:pPr>
      <w:spacing w:after="138" w:line="240" w:lineRule="auto"/>
      <w:ind w:right="58"/>
    </w:pPr>
    <w:rPr>
      <w:rFonts w:ascii="Times New Roman" w:eastAsia="Times New Roman" w:hAnsi="Times New Roman" w:cs="Times New Roman"/>
      <w:sz w:val="24"/>
      <w:szCs w:val="24"/>
    </w:rPr>
  </w:style>
  <w:style w:type="character" w:styleId="Emphasis">
    <w:name w:val="Emphasis"/>
    <w:basedOn w:val="DefaultParagraphFont"/>
    <w:uiPriority w:val="20"/>
    <w:qFormat/>
    <w:rsid w:val="008674A5"/>
    <w:rPr>
      <w:i/>
      <w:iCs/>
    </w:rPr>
  </w:style>
  <w:style w:type="character" w:customStyle="1" w:styleId="Heading1Char">
    <w:name w:val="Heading 1 Char"/>
    <w:basedOn w:val="DefaultParagraphFont"/>
    <w:link w:val="Heading1"/>
    <w:rsid w:val="00E34A04"/>
    <w:rPr>
      <w:rFonts w:ascii="New York" w:eastAsia="Times New Roman" w:hAnsi="New York" w:cs="Times New Roman"/>
      <w:b/>
      <w:sz w:val="24"/>
      <w:szCs w:val="20"/>
    </w:rPr>
  </w:style>
  <w:style w:type="character" w:customStyle="1" w:styleId="Heading2Char">
    <w:name w:val="Heading 2 Char"/>
    <w:basedOn w:val="DefaultParagraphFont"/>
    <w:link w:val="Heading2"/>
    <w:uiPriority w:val="9"/>
    <w:rsid w:val="00E34A0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34A04"/>
    <w:rPr>
      <w:rFonts w:asciiTheme="majorHAnsi" w:eastAsiaTheme="majorEastAsia" w:hAnsiTheme="majorHAnsi" w:cstheme="majorBidi"/>
      <w:b/>
      <w:bCs/>
      <w:color w:val="4F81BD" w:themeColor="accent1"/>
      <w:sz w:val="20"/>
      <w:szCs w:val="20"/>
    </w:rPr>
  </w:style>
  <w:style w:type="character" w:styleId="Hyperlink">
    <w:name w:val="Hyperlink"/>
    <w:basedOn w:val="DefaultParagraphFont"/>
    <w:rsid w:val="00E34A04"/>
    <w:rPr>
      <w:color w:val="0000FF"/>
      <w:u w:val="single"/>
    </w:rPr>
  </w:style>
  <w:style w:type="paragraph" w:styleId="Footer">
    <w:name w:val="footer"/>
    <w:basedOn w:val="Normal"/>
    <w:link w:val="FooterChar"/>
    <w:rsid w:val="00E34A04"/>
    <w:pPr>
      <w:tabs>
        <w:tab w:val="center" w:pos="4320"/>
        <w:tab w:val="right" w:pos="8640"/>
      </w:tabs>
      <w:spacing w:after="0" w:line="240" w:lineRule="auto"/>
    </w:pPr>
    <w:rPr>
      <w:rFonts w:ascii="New York" w:eastAsia="Times New Roman" w:hAnsi="New York" w:cs="Times New Roman"/>
      <w:sz w:val="24"/>
      <w:szCs w:val="20"/>
    </w:rPr>
  </w:style>
  <w:style w:type="character" w:customStyle="1" w:styleId="FooterChar">
    <w:name w:val="Footer Char"/>
    <w:basedOn w:val="DefaultParagraphFont"/>
    <w:link w:val="Footer"/>
    <w:rsid w:val="00E34A04"/>
    <w:rPr>
      <w:rFonts w:ascii="New York" w:eastAsia="Times New Roman" w:hAnsi="New York" w:cs="Times New Roman"/>
      <w:sz w:val="24"/>
      <w:szCs w:val="20"/>
    </w:rPr>
  </w:style>
  <w:style w:type="paragraph" w:styleId="HTMLPreformatted">
    <w:name w:val="HTML Preformatted"/>
    <w:basedOn w:val="Normal"/>
    <w:link w:val="HTMLPreformattedChar"/>
    <w:rsid w:val="00E34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E34A04"/>
    <w:rPr>
      <w:rFonts w:ascii="Courier New" w:eastAsia="Times New Roman" w:hAnsi="Courier New" w:cs="Courier New"/>
      <w:sz w:val="20"/>
      <w:szCs w:val="20"/>
    </w:rPr>
  </w:style>
  <w:style w:type="character" w:customStyle="1" w:styleId="Heading9Char">
    <w:name w:val="Heading 9 Char"/>
    <w:basedOn w:val="DefaultParagraphFont"/>
    <w:link w:val="Heading9"/>
    <w:rsid w:val="003131C2"/>
    <w:rPr>
      <w:rFonts w:asciiTheme="majorHAnsi" w:eastAsiaTheme="majorEastAsia" w:hAnsiTheme="majorHAnsi" w:cstheme="majorBidi"/>
      <w:i/>
      <w:iCs/>
      <w:color w:val="404040" w:themeColor="text1" w:themeTint="BF"/>
      <w:sz w:val="20"/>
      <w:szCs w:val="20"/>
    </w:rPr>
  </w:style>
  <w:style w:type="character" w:styleId="CommentReference">
    <w:name w:val="annotation reference"/>
    <w:basedOn w:val="DefaultParagraphFont"/>
    <w:uiPriority w:val="99"/>
    <w:semiHidden/>
    <w:unhideWhenUsed/>
    <w:rsid w:val="00B27103"/>
    <w:rPr>
      <w:sz w:val="18"/>
      <w:szCs w:val="18"/>
    </w:rPr>
  </w:style>
  <w:style w:type="paragraph" w:styleId="CommentText">
    <w:name w:val="annotation text"/>
    <w:basedOn w:val="Normal"/>
    <w:link w:val="CommentTextChar"/>
    <w:uiPriority w:val="99"/>
    <w:semiHidden/>
    <w:unhideWhenUsed/>
    <w:rsid w:val="00B27103"/>
    <w:pPr>
      <w:spacing w:line="240" w:lineRule="auto"/>
    </w:pPr>
    <w:rPr>
      <w:sz w:val="24"/>
      <w:szCs w:val="24"/>
    </w:rPr>
  </w:style>
  <w:style w:type="character" w:customStyle="1" w:styleId="CommentTextChar">
    <w:name w:val="Comment Text Char"/>
    <w:basedOn w:val="DefaultParagraphFont"/>
    <w:link w:val="CommentText"/>
    <w:uiPriority w:val="99"/>
    <w:semiHidden/>
    <w:rsid w:val="00B27103"/>
    <w:rPr>
      <w:sz w:val="24"/>
      <w:szCs w:val="24"/>
    </w:rPr>
  </w:style>
  <w:style w:type="paragraph" w:styleId="CommentSubject">
    <w:name w:val="annotation subject"/>
    <w:basedOn w:val="CommentText"/>
    <w:next w:val="CommentText"/>
    <w:link w:val="CommentSubjectChar"/>
    <w:uiPriority w:val="99"/>
    <w:semiHidden/>
    <w:unhideWhenUsed/>
    <w:rsid w:val="00B27103"/>
    <w:rPr>
      <w:b/>
      <w:bCs/>
      <w:sz w:val="20"/>
      <w:szCs w:val="20"/>
    </w:rPr>
  </w:style>
  <w:style w:type="character" w:customStyle="1" w:styleId="CommentSubjectChar">
    <w:name w:val="Comment Subject Char"/>
    <w:basedOn w:val="CommentTextChar"/>
    <w:link w:val="CommentSubject"/>
    <w:uiPriority w:val="99"/>
    <w:semiHidden/>
    <w:rsid w:val="00B27103"/>
    <w:rPr>
      <w:b/>
      <w:bCs/>
      <w:sz w:val="20"/>
      <w:szCs w:val="20"/>
    </w:rPr>
  </w:style>
  <w:style w:type="paragraph" w:styleId="BalloonText">
    <w:name w:val="Balloon Text"/>
    <w:basedOn w:val="Normal"/>
    <w:link w:val="BalloonTextChar"/>
    <w:uiPriority w:val="99"/>
    <w:semiHidden/>
    <w:unhideWhenUsed/>
    <w:rsid w:val="00B2710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27103"/>
    <w:rPr>
      <w:rFonts w:ascii="Lucida Grande" w:hAnsi="Lucida Grande" w:cs="Lucida Grande"/>
      <w:sz w:val="18"/>
      <w:szCs w:val="18"/>
    </w:rPr>
  </w:style>
  <w:style w:type="paragraph" w:styleId="ListParagraph">
    <w:name w:val="List Paragraph"/>
    <w:basedOn w:val="Normal"/>
    <w:uiPriority w:val="34"/>
    <w:qFormat/>
    <w:rsid w:val="00977742"/>
    <w:pPr>
      <w:widowControl w:val="0"/>
      <w:spacing w:after="0" w:line="240" w:lineRule="auto"/>
      <w:ind w:left="720"/>
      <w:contextualSpacing/>
    </w:pPr>
    <w:rPr>
      <w:rFonts w:ascii="Times New Roman" w:eastAsia="Times New Roman" w:hAnsi="Times New Roman" w:cs="Times New Roman"/>
      <w:sz w:val="24"/>
      <w:szCs w:val="20"/>
    </w:rPr>
  </w:style>
  <w:style w:type="paragraph" w:styleId="BodyText">
    <w:name w:val="Body Text"/>
    <w:basedOn w:val="Normal"/>
    <w:link w:val="BodyTextChar"/>
    <w:rsid w:val="00977742"/>
    <w:pPr>
      <w:spacing w:after="0" w:line="240" w:lineRule="auto"/>
    </w:pPr>
    <w:rPr>
      <w:rFonts w:ascii="Times New Roman" w:eastAsia="Times New Roman" w:hAnsi="Times New Roman" w:cs="Times New Roman"/>
      <w:b/>
      <w:sz w:val="24"/>
      <w:szCs w:val="20"/>
    </w:rPr>
  </w:style>
  <w:style w:type="character" w:customStyle="1" w:styleId="BodyTextChar">
    <w:name w:val="Body Text Char"/>
    <w:basedOn w:val="DefaultParagraphFont"/>
    <w:link w:val="BodyText"/>
    <w:rsid w:val="00977742"/>
    <w:rPr>
      <w:rFonts w:ascii="Times New Roman" w:eastAsia="Times New Roman" w:hAnsi="Times New Roman" w:cs="Times New Roman"/>
      <w:b/>
      <w:sz w:val="24"/>
      <w:szCs w:val="20"/>
    </w:rPr>
  </w:style>
  <w:style w:type="paragraph" w:styleId="Title">
    <w:name w:val="Title"/>
    <w:basedOn w:val="Normal"/>
    <w:link w:val="TitleChar"/>
    <w:qFormat/>
    <w:rsid w:val="006E146B"/>
    <w:pPr>
      <w:spacing w:after="0" w:line="240" w:lineRule="auto"/>
      <w:jc w:val="center"/>
    </w:pPr>
    <w:rPr>
      <w:rFonts w:ascii="Times New Roman" w:eastAsia="Times New Roman" w:hAnsi="Times New Roman" w:cs="Times New Roman"/>
      <w:sz w:val="24"/>
      <w:szCs w:val="20"/>
      <w:u w:val="single"/>
    </w:rPr>
  </w:style>
  <w:style w:type="character" w:customStyle="1" w:styleId="TitleChar">
    <w:name w:val="Title Char"/>
    <w:basedOn w:val="DefaultParagraphFont"/>
    <w:link w:val="Title"/>
    <w:rsid w:val="006E146B"/>
    <w:rPr>
      <w:rFonts w:ascii="Times New Roman" w:eastAsia="Times New Roman" w:hAnsi="Times New Roman" w:cs="Times New Roman"/>
      <w:sz w:val="24"/>
      <w:szCs w:val="20"/>
      <w:u w:val="single"/>
    </w:rPr>
  </w:style>
  <w:style w:type="paragraph" w:styleId="NoSpacing">
    <w:name w:val="No Spacing"/>
    <w:uiPriority w:val="1"/>
    <w:qFormat/>
    <w:rsid w:val="000077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harmacopoeia.com/" TargetMode="External"/><Relationship Id="rId3" Type="http://schemas.openxmlformats.org/officeDocument/2006/relationships/settings" Target="settings.xml"/><Relationship Id="rId7" Type="http://schemas.openxmlformats.org/officeDocument/2006/relationships/hyperlink" Target="http://www.usp.org/usp-n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nimaldrugsatfda.fda.gov/adafda/views/" TargetMode="External"/><Relationship Id="rId5" Type="http://schemas.openxmlformats.org/officeDocument/2006/relationships/hyperlink" Target="http://www.accessdata.fda.gov/scripts/cder/da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7893ce20-a697-4fd6-a4da-14011f6a471d}" enabled="1" method="Standard" siteId="{a8eec281-aaa3-4dae-ac9b-9a398b9215e7}"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850</Words>
  <Characters>4848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Sullivan, Sean</dc:creator>
  <cp:keywords/>
  <dc:description/>
  <cp:lastModifiedBy>Sullivan, Sean</cp:lastModifiedBy>
  <cp:revision>2</cp:revision>
  <cp:lastPrinted>2010-06-08T16:24:00Z</cp:lastPrinted>
  <dcterms:created xsi:type="dcterms:W3CDTF">2025-07-29T13:47:00Z</dcterms:created>
  <dcterms:modified xsi:type="dcterms:W3CDTF">2025-07-29T13:47:00Z</dcterms:modified>
</cp:coreProperties>
</file>