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20605" w14:textId="77777777" w:rsidR="00D07DCE" w:rsidRPr="00D13B39" w:rsidRDefault="00D07DCE" w:rsidP="00D07DCE">
      <w:pPr>
        <w:spacing w:line="240" w:lineRule="auto"/>
        <w:contextualSpacing/>
        <w:rPr>
          <w:rFonts w:ascii="Aptos" w:hAnsi="Aptos"/>
          <w14:shadow w14:blurRad="50800" w14:dist="38100" w14:dir="2700000" w14:sx="100000" w14:sy="100000" w14:kx="0" w14:ky="0" w14:algn="tl">
            <w14:srgbClr w14:val="000000">
              <w14:alpha w14:val="60000"/>
            </w14:srgbClr>
          </w14:shadow>
        </w:rPr>
      </w:pPr>
      <w:r w:rsidRPr="00D13B39">
        <w:rPr>
          <w:rFonts w:ascii="Aptos" w:hAnsi="Aptos"/>
          <w:sz w:val="154"/>
          <w14:shadow w14:blurRad="50800" w14:dist="38100" w14:dir="2700000" w14:sx="100000" w14:sy="100000" w14:kx="0" w14:ky="0" w14:algn="tl">
            <w14:srgbClr w14:val="000000">
              <w14:alpha w14:val="60000"/>
            </w14:srgbClr>
          </w14:shadow>
        </w:rPr>
        <w:t>NU</w:t>
      </w:r>
      <w:r w:rsidRPr="00D07DCE">
        <w:rPr>
          <w:rFonts w:ascii="Aptos" w:hAnsi="Aptos"/>
          <w:outline/>
          <w:color w:val="000000"/>
          <w:sz w:val="84"/>
          <w14:textOutline w14:w="9525" w14:cap="flat" w14:cmpd="sng" w14:algn="ctr">
            <w14:solidFill>
              <w14:srgbClr w14:val="000000"/>
            </w14:solidFill>
            <w14:prstDash w14:val="solid"/>
            <w14:round/>
          </w14:textOutline>
          <w14:textFill>
            <w14:noFill/>
          </w14:textFill>
        </w:rPr>
        <w:t>–</w:t>
      </w:r>
      <w:r w:rsidRPr="00D07DCE">
        <w:rPr>
          <w:rFonts w:ascii="Aptos" w:hAnsi="Aptos"/>
          <w:outline/>
          <w:color w:val="000000"/>
          <w:sz w:val="60"/>
          <w:u w:val="singl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IACUC POLICY</w:t>
      </w:r>
    </w:p>
    <w:p w14:paraId="17ADEB06" w14:textId="77777777" w:rsidR="00D07DCE" w:rsidRPr="00D13B39" w:rsidRDefault="00D07DCE" w:rsidP="00D07DCE">
      <w:pPr>
        <w:pStyle w:val="Heading9"/>
        <w:contextualSpacing/>
        <w:rPr>
          <w:rFonts w:ascii="Aptos" w:hAnsi="Aptos"/>
          <w:i/>
          <w:iCs/>
          <w:szCs w:val="28"/>
          <w:u w:val="single"/>
        </w:rPr>
      </w:pPr>
      <w:r w:rsidRPr="00D13B39">
        <w:rPr>
          <w:rFonts w:ascii="Aptos" w:hAnsi="Aptos"/>
          <w:szCs w:val="28"/>
        </w:rPr>
        <w:t>Northeastern University Institutional Animal Care and Use Committee</w:t>
      </w:r>
    </w:p>
    <w:p w14:paraId="4FFA91C7" w14:textId="77777777" w:rsidR="008209FE" w:rsidRPr="00D07DCE" w:rsidRDefault="008209FE" w:rsidP="008209FE">
      <w:pPr>
        <w:pStyle w:val="Footer"/>
        <w:tabs>
          <w:tab w:val="left" w:pos="720"/>
        </w:tabs>
        <w:rPr>
          <w:rFonts w:ascii="Aptos" w:hAnsi="Aptos"/>
          <w:sz w:val="28"/>
          <w:szCs w:val="28"/>
        </w:rPr>
      </w:pPr>
    </w:p>
    <w:tbl>
      <w:tblPr>
        <w:tblW w:w="0" w:type="auto"/>
        <w:tblBorders>
          <w:top w:val="threeDEmboss" w:sz="24" w:space="0" w:color="auto"/>
          <w:left w:val="threeDEmboss" w:sz="24" w:space="0" w:color="auto"/>
          <w:bottom w:val="threeDEmboss" w:sz="24" w:space="0" w:color="auto"/>
          <w:right w:val="threeDEmboss" w:sz="24" w:space="0" w:color="auto"/>
        </w:tblBorders>
        <w:tblLook w:val="0000" w:firstRow="0" w:lastRow="0" w:firstColumn="0" w:lastColumn="0" w:noHBand="0" w:noVBand="0"/>
      </w:tblPr>
      <w:tblGrid>
        <w:gridCol w:w="8856"/>
      </w:tblGrid>
      <w:tr w:rsidR="008209FE" w:rsidRPr="00D07DCE" w14:paraId="7A9D8956" w14:textId="77777777" w:rsidTr="478B0C80">
        <w:trPr>
          <w:trHeight w:val="1140"/>
        </w:trPr>
        <w:tc>
          <w:tcPr>
            <w:tcW w:w="8856" w:type="dxa"/>
            <w:tcBorders>
              <w:top w:val="threeDEmboss" w:sz="24" w:space="0" w:color="auto"/>
              <w:left w:val="threeDEmboss" w:sz="24" w:space="0" w:color="auto"/>
              <w:bottom w:val="threeDEmboss" w:sz="24" w:space="0" w:color="auto"/>
              <w:right w:val="threeDEmboss" w:sz="24" w:space="0" w:color="auto"/>
            </w:tcBorders>
          </w:tcPr>
          <w:p w14:paraId="5AB770CF" w14:textId="77777777" w:rsidR="008209FE" w:rsidRPr="00D07DCE" w:rsidRDefault="008209FE" w:rsidP="000F6159">
            <w:pPr>
              <w:pStyle w:val="Heading1"/>
              <w:ind w:left="0"/>
              <w:rPr>
                <w:rFonts w:ascii="Aptos" w:eastAsiaTheme="minorHAnsi" w:hAnsi="Aptos"/>
                <w:b w:val="0"/>
                <w:sz w:val="28"/>
                <w:szCs w:val="28"/>
              </w:rPr>
            </w:pPr>
          </w:p>
          <w:p w14:paraId="4A6F9628" w14:textId="2BBBFCBF" w:rsidR="008209FE" w:rsidRPr="00D07DCE" w:rsidRDefault="008209FE" w:rsidP="008209FE">
            <w:pPr>
              <w:pStyle w:val="BodyText"/>
              <w:jc w:val="center"/>
              <w:rPr>
                <w:rFonts w:ascii="Aptos" w:hAnsi="Aptos"/>
                <w:b w:val="0"/>
                <w:sz w:val="28"/>
                <w:szCs w:val="28"/>
              </w:rPr>
            </w:pPr>
            <w:r w:rsidRPr="478B0C80">
              <w:rPr>
                <w:rFonts w:ascii="Aptos" w:hAnsi="Aptos"/>
                <w:b w:val="0"/>
                <w:sz w:val="28"/>
                <w:szCs w:val="28"/>
              </w:rPr>
              <w:t xml:space="preserve">Policy on Frog </w:t>
            </w:r>
            <w:r w:rsidR="31E0334F" w:rsidRPr="478B0C80">
              <w:rPr>
                <w:rFonts w:ascii="Aptos" w:hAnsi="Aptos"/>
                <w:b w:val="0"/>
                <w:sz w:val="28"/>
                <w:szCs w:val="28"/>
              </w:rPr>
              <w:t xml:space="preserve">and Axolotl </w:t>
            </w:r>
            <w:r w:rsidRPr="478B0C80">
              <w:rPr>
                <w:rFonts w:ascii="Aptos" w:hAnsi="Aptos"/>
                <w:b w:val="0"/>
                <w:sz w:val="28"/>
                <w:szCs w:val="28"/>
              </w:rPr>
              <w:t>Oocyte Harvesting</w:t>
            </w:r>
          </w:p>
          <w:p w14:paraId="35E05805" w14:textId="77777777" w:rsidR="008209FE" w:rsidRPr="00D07DCE" w:rsidRDefault="008209FE" w:rsidP="000F6159">
            <w:pPr>
              <w:pStyle w:val="Heading1"/>
              <w:ind w:left="0"/>
              <w:rPr>
                <w:rFonts w:ascii="Aptos" w:eastAsia="Arial Unicode MS" w:hAnsi="Aptos"/>
                <w:b w:val="0"/>
                <w:sz w:val="28"/>
                <w:szCs w:val="28"/>
              </w:rPr>
            </w:pPr>
          </w:p>
        </w:tc>
      </w:tr>
    </w:tbl>
    <w:p w14:paraId="08AA9A10" w14:textId="77777777" w:rsidR="008209FE" w:rsidRPr="00D07DCE" w:rsidRDefault="008209FE" w:rsidP="008209FE">
      <w:pPr>
        <w:pStyle w:val="NoSpacing"/>
        <w:rPr>
          <w:rFonts w:ascii="Aptos" w:hAnsi="Aptos" w:cs="Times New Roman"/>
          <w:sz w:val="28"/>
          <w:szCs w:val="28"/>
        </w:rPr>
      </w:pPr>
    </w:p>
    <w:p w14:paraId="13E507FF" w14:textId="41C738DE" w:rsidR="008209FE" w:rsidRPr="00D07DCE" w:rsidRDefault="008209FE" w:rsidP="008209FE">
      <w:pPr>
        <w:spacing w:after="0" w:line="240" w:lineRule="auto"/>
        <w:jc w:val="center"/>
        <w:rPr>
          <w:rFonts w:ascii="Aptos" w:hAnsi="Aptos" w:cs="Times New Roman"/>
          <w:sz w:val="28"/>
          <w:szCs w:val="28"/>
        </w:rPr>
      </w:pPr>
      <w:r w:rsidRPr="00D07DCE">
        <w:rPr>
          <w:rFonts w:ascii="Aptos" w:hAnsi="Aptos" w:cs="Times New Roman"/>
          <w:sz w:val="28"/>
          <w:szCs w:val="28"/>
        </w:rPr>
        <w:t xml:space="preserve">IACUC </w:t>
      </w:r>
      <w:r w:rsidR="00B84442" w:rsidRPr="00D07DCE">
        <w:rPr>
          <w:rFonts w:ascii="Aptos" w:hAnsi="Aptos" w:cs="Times New Roman"/>
          <w:sz w:val="28"/>
          <w:szCs w:val="28"/>
        </w:rPr>
        <w:t>Re-</w:t>
      </w:r>
      <w:r w:rsidRPr="00D07DCE">
        <w:rPr>
          <w:rFonts w:ascii="Aptos" w:hAnsi="Aptos" w:cs="Times New Roman"/>
          <w:sz w:val="28"/>
          <w:szCs w:val="28"/>
        </w:rPr>
        <w:t xml:space="preserve">Approval Date: </w:t>
      </w:r>
      <w:r w:rsidR="00070AFF">
        <w:rPr>
          <w:rFonts w:ascii="Aptos" w:hAnsi="Aptos" w:cs="Times New Roman"/>
          <w:sz w:val="28"/>
          <w:szCs w:val="28"/>
        </w:rPr>
        <w:t>11/19/2024</w:t>
      </w:r>
    </w:p>
    <w:p w14:paraId="54706D3E" w14:textId="77777777" w:rsidR="008209FE" w:rsidRPr="00D07DCE" w:rsidRDefault="008209FE" w:rsidP="008209FE">
      <w:pPr>
        <w:spacing w:after="0" w:line="240" w:lineRule="auto"/>
        <w:jc w:val="center"/>
        <w:rPr>
          <w:rFonts w:ascii="Aptos" w:hAnsi="Aptos" w:cs="Times New Roman"/>
          <w:vertAlign w:val="superscript"/>
        </w:rPr>
      </w:pPr>
    </w:p>
    <w:p w14:paraId="781BD8C8" w14:textId="77777777" w:rsidR="008209FE" w:rsidRPr="00D07DCE" w:rsidRDefault="008209FE" w:rsidP="00D07DCE">
      <w:pPr>
        <w:spacing w:line="240" w:lineRule="auto"/>
        <w:rPr>
          <w:rFonts w:ascii="Aptos" w:hAnsi="Aptos"/>
          <w:sz w:val="24"/>
          <w:szCs w:val="24"/>
          <w:u w:val="single"/>
        </w:rPr>
      </w:pPr>
      <w:r w:rsidRPr="00D07DCE">
        <w:rPr>
          <w:rFonts w:ascii="Aptos" w:hAnsi="Aptos"/>
          <w:sz w:val="24"/>
          <w:szCs w:val="24"/>
          <w:u w:val="single"/>
        </w:rPr>
        <w:t>Background</w:t>
      </w:r>
    </w:p>
    <w:p w14:paraId="5F587B1F" w14:textId="7963446F" w:rsidR="008209FE" w:rsidRPr="00D07DCE" w:rsidRDefault="008209FE" w:rsidP="008209FE">
      <w:pPr>
        <w:rPr>
          <w:rFonts w:ascii="Aptos" w:hAnsi="Aptos"/>
          <w:sz w:val="24"/>
          <w:szCs w:val="24"/>
        </w:rPr>
      </w:pPr>
      <w:r w:rsidRPr="00D07DCE">
        <w:rPr>
          <w:rFonts w:ascii="Aptos" w:hAnsi="Aptos"/>
          <w:sz w:val="24"/>
          <w:szCs w:val="24"/>
        </w:rPr>
        <w:t>Amphibian oocytes are used for studies in molecular biology, embryology and biochemistry. Oocyte harvesting in frogs can be accomplished via both surgical and non-surgical methods. Stage I-VI oocytes are obtained by surgical laparotomy. Multiple surgeries on a single animal may be justified as it can reduce the total number of animals used. However, the total number of animals used must be considered relative to the pain or distress experienced by an individual animal. In addition, the Guide for the Care and Use of Laboratory Animals (Eighth Edition, p30) discourages multiple major operative procedures in a single animal. Any use of multiple survival surgeries requires scientific justification in the animal protocol and IACUC approval.</w:t>
      </w:r>
      <w:r w:rsidR="00711E38">
        <w:rPr>
          <w:rFonts w:ascii="Aptos" w:hAnsi="Aptos"/>
          <w:sz w:val="24"/>
          <w:szCs w:val="24"/>
        </w:rPr>
        <w:t xml:space="preserve">  Oocytes may only be collected from Axolotls surgically.</w:t>
      </w:r>
    </w:p>
    <w:p w14:paraId="607847E0" w14:textId="77777777" w:rsidR="008209FE" w:rsidRPr="00D07DCE" w:rsidRDefault="008209FE" w:rsidP="008209FE">
      <w:pPr>
        <w:rPr>
          <w:rFonts w:ascii="Aptos" w:hAnsi="Aptos"/>
          <w:sz w:val="24"/>
          <w:szCs w:val="24"/>
        </w:rPr>
      </w:pPr>
    </w:p>
    <w:p w14:paraId="016A40A2" w14:textId="77777777" w:rsidR="008209FE" w:rsidRPr="00D07DCE" w:rsidRDefault="008209FE" w:rsidP="00D07DCE">
      <w:pPr>
        <w:spacing w:line="240" w:lineRule="auto"/>
        <w:rPr>
          <w:rFonts w:ascii="Aptos" w:hAnsi="Aptos"/>
          <w:sz w:val="24"/>
          <w:szCs w:val="24"/>
          <w:u w:val="single"/>
        </w:rPr>
      </w:pPr>
      <w:r w:rsidRPr="00D07DCE">
        <w:rPr>
          <w:rFonts w:ascii="Aptos" w:hAnsi="Aptos"/>
          <w:sz w:val="24"/>
          <w:szCs w:val="24"/>
          <w:u w:val="single"/>
        </w:rPr>
        <w:t>Surgical Oocyte Harvest in Frogs</w:t>
      </w:r>
    </w:p>
    <w:p w14:paraId="643E3BAD" w14:textId="77777777" w:rsidR="008209FE" w:rsidRPr="00D07DCE" w:rsidRDefault="008209FE" w:rsidP="008209FE">
      <w:pPr>
        <w:rPr>
          <w:rFonts w:ascii="Aptos" w:hAnsi="Aptos"/>
          <w:sz w:val="24"/>
          <w:szCs w:val="24"/>
        </w:rPr>
      </w:pPr>
      <w:r w:rsidRPr="00D07DCE">
        <w:rPr>
          <w:rFonts w:ascii="Aptos" w:hAnsi="Aptos"/>
          <w:sz w:val="24"/>
          <w:szCs w:val="24"/>
        </w:rPr>
        <w:t xml:space="preserve">The total number of laparotomies should be limited and will depend on the condition of the animal, the quality of the oocytes, the lifespan of the animal, and the duration of egg production. </w:t>
      </w:r>
    </w:p>
    <w:p w14:paraId="428437DC" w14:textId="656804D4" w:rsidR="008209FE" w:rsidRPr="00D07DCE" w:rsidRDefault="008209FE" w:rsidP="008209FE">
      <w:pPr>
        <w:pStyle w:val="ListParagraph"/>
        <w:numPr>
          <w:ilvl w:val="0"/>
          <w:numId w:val="1"/>
        </w:numPr>
        <w:rPr>
          <w:rFonts w:ascii="Aptos" w:hAnsi="Aptos"/>
          <w:sz w:val="24"/>
          <w:szCs w:val="24"/>
        </w:rPr>
      </w:pPr>
      <w:r w:rsidRPr="478B0C80">
        <w:rPr>
          <w:rFonts w:ascii="Aptos" w:hAnsi="Aptos"/>
          <w:sz w:val="24"/>
          <w:szCs w:val="24"/>
        </w:rPr>
        <w:t xml:space="preserve">The IACUC recommends a maximum of 3 surgeries per </w:t>
      </w:r>
      <w:r w:rsidR="126189BA" w:rsidRPr="478B0C80">
        <w:rPr>
          <w:rFonts w:ascii="Aptos" w:hAnsi="Aptos"/>
          <w:sz w:val="24"/>
          <w:szCs w:val="24"/>
        </w:rPr>
        <w:t>animal</w:t>
      </w:r>
      <w:r w:rsidRPr="478B0C80">
        <w:rPr>
          <w:rFonts w:ascii="Aptos" w:hAnsi="Aptos"/>
          <w:sz w:val="24"/>
          <w:szCs w:val="24"/>
        </w:rPr>
        <w:t xml:space="preserve">: two survival surgeries (one on each side of the </w:t>
      </w:r>
      <w:r w:rsidR="50D1DD63" w:rsidRPr="478B0C80">
        <w:rPr>
          <w:rFonts w:ascii="Aptos" w:hAnsi="Aptos"/>
          <w:sz w:val="24"/>
          <w:szCs w:val="24"/>
        </w:rPr>
        <w:t>animal</w:t>
      </w:r>
      <w:r w:rsidRPr="478B0C80">
        <w:rPr>
          <w:rFonts w:ascii="Aptos" w:hAnsi="Aptos"/>
          <w:sz w:val="24"/>
          <w:szCs w:val="24"/>
        </w:rPr>
        <w:t>) and one terminal surgery.</w:t>
      </w:r>
    </w:p>
    <w:p w14:paraId="655FDA52" w14:textId="77777777" w:rsidR="008209FE" w:rsidRPr="00D07DCE" w:rsidRDefault="008209FE" w:rsidP="008209FE">
      <w:pPr>
        <w:pStyle w:val="ListParagraph"/>
        <w:rPr>
          <w:rFonts w:ascii="Aptos" w:hAnsi="Aptos"/>
          <w:sz w:val="24"/>
          <w:szCs w:val="24"/>
        </w:rPr>
      </w:pPr>
    </w:p>
    <w:p w14:paraId="29476F1B" w14:textId="3A8314AA" w:rsidR="008209FE" w:rsidRPr="00D07DCE" w:rsidRDefault="008209FE" w:rsidP="478B0C80">
      <w:pPr>
        <w:pStyle w:val="ListParagraph"/>
        <w:numPr>
          <w:ilvl w:val="0"/>
          <w:numId w:val="1"/>
        </w:numPr>
        <w:rPr>
          <w:rFonts w:ascii="Aptos" w:hAnsi="Aptos"/>
          <w:sz w:val="24"/>
          <w:szCs w:val="24"/>
        </w:rPr>
      </w:pPr>
      <w:r w:rsidRPr="478B0C80">
        <w:rPr>
          <w:rFonts w:ascii="Aptos" w:hAnsi="Aptos"/>
          <w:sz w:val="24"/>
          <w:szCs w:val="24"/>
        </w:rPr>
        <w:lastRenderedPageBreak/>
        <w:t xml:space="preserve">The IACUC may approve up to a maximum of 5 surgeries per </w:t>
      </w:r>
      <w:r w:rsidR="29404C49" w:rsidRPr="478B0C80">
        <w:rPr>
          <w:rFonts w:ascii="Aptos" w:hAnsi="Aptos"/>
          <w:sz w:val="24"/>
          <w:szCs w:val="24"/>
        </w:rPr>
        <w:t>animal</w:t>
      </w:r>
      <w:r w:rsidRPr="478B0C80">
        <w:rPr>
          <w:rFonts w:ascii="Aptos" w:hAnsi="Aptos"/>
          <w:sz w:val="24"/>
          <w:szCs w:val="24"/>
        </w:rPr>
        <w:t xml:space="preserve">: four survival surgeries (two on each side of the </w:t>
      </w:r>
      <w:r w:rsidR="132B5118" w:rsidRPr="478B0C80">
        <w:rPr>
          <w:rFonts w:ascii="Aptos" w:hAnsi="Aptos"/>
          <w:sz w:val="24"/>
          <w:szCs w:val="24"/>
        </w:rPr>
        <w:t>animal</w:t>
      </w:r>
      <w:r w:rsidRPr="478B0C80">
        <w:rPr>
          <w:rFonts w:ascii="Aptos" w:hAnsi="Aptos"/>
          <w:sz w:val="24"/>
          <w:szCs w:val="24"/>
        </w:rPr>
        <w:t xml:space="preserve">) and one terminal surgery. The allowance of 4 or 5 surgeries per </w:t>
      </w:r>
      <w:r w:rsidR="0DF30865" w:rsidRPr="478B0C80">
        <w:rPr>
          <w:rFonts w:ascii="Aptos" w:hAnsi="Aptos"/>
          <w:sz w:val="24"/>
          <w:szCs w:val="24"/>
        </w:rPr>
        <w:t>animal</w:t>
      </w:r>
      <w:r w:rsidR="33F1A0A3" w:rsidRPr="478B0C80">
        <w:rPr>
          <w:rFonts w:ascii="Aptos" w:hAnsi="Aptos"/>
          <w:sz w:val="24"/>
          <w:szCs w:val="24"/>
        </w:rPr>
        <w:t xml:space="preserve">s </w:t>
      </w:r>
      <w:r w:rsidRPr="478B0C80">
        <w:rPr>
          <w:rFonts w:ascii="Aptos" w:hAnsi="Aptos"/>
          <w:sz w:val="24"/>
          <w:szCs w:val="24"/>
        </w:rPr>
        <w:t xml:space="preserve">is reserved for high quality oocyte producing </w:t>
      </w:r>
      <w:r w:rsidR="6CFC3778" w:rsidRPr="478B0C80">
        <w:rPr>
          <w:rFonts w:ascii="Aptos" w:hAnsi="Aptos"/>
          <w:sz w:val="24"/>
          <w:szCs w:val="24"/>
        </w:rPr>
        <w:t xml:space="preserve">animals </w:t>
      </w:r>
      <w:r w:rsidRPr="478B0C80">
        <w:rPr>
          <w:rFonts w:ascii="Aptos" w:hAnsi="Aptos"/>
          <w:sz w:val="24"/>
          <w:szCs w:val="24"/>
        </w:rPr>
        <w:t>and only provided that the animals continue to do well post-operatively and do not form significant intra</w:t>
      </w:r>
      <w:r w:rsidR="00D07DCE" w:rsidRPr="478B0C80">
        <w:rPr>
          <w:rFonts w:ascii="Aptos" w:hAnsi="Aptos"/>
          <w:sz w:val="24"/>
          <w:szCs w:val="24"/>
        </w:rPr>
        <w:t>-</w:t>
      </w:r>
      <w:r w:rsidRPr="478B0C80">
        <w:rPr>
          <w:rFonts w:ascii="Aptos" w:hAnsi="Aptos"/>
          <w:sz w:val="24"/>
          <w:szCs w:val="24"/>
        </w:rPr>
        <w:t>coelomic adhesions. If these conditions are met, the following is required:</w:t>
      </w:r>
    </w:p>
    <w:p w14:paraId="347E2731" w14:textId="77777777" w:rsidR="008209FE" w:rsidRPr="00D07DCE" w:rsidRDefault="008209FE" w:rsidP="008209FE">
      <w:pPr>
        <w:pStyle w:val="ListParagraph"/>
        <w:numPr>
          <w:ilvl w:val="0"/>
          <w:numId w:val="2"/>
        </w:numPr>
        <w:rPr>
          <w:rFonts w:ascii="Aptos" w:hAnsi="Aptos"/>
          <w:sz w:val="24"/>
          <w:szCs w:val="24"/>
        </w:rPr>
      </w:pPr>
      <w:r w:rsidRPr="00D07DCE">
        <w:rPr>
          <w:rFonts w:ascii="Aptos" w:hAnsi="Aptos"/>
          <w:sz w:val="24"/>
          <w:szCs w:val="24"/>
        </w:rPr>
        <w:t>A minimum of two months between surgeries.</w:t>
      </w:r>
    </w:p>
    <w:p w14:paraId="66B2481B" w14:textId="77777777" w:rsidR="008209FE" w:rsidRPr="00D07DCE" w:rsidRDefault="008209FE" w:rsidP="008209FE">
      <w:pPr>
        <w:pStyle w:val="ListParagraph"/>
        <w:numPr>
          <w:ilvl w:val="0"/>
          <w:numId w:val="2"/>
        </w:numPr>
        <w:rPr>
          <w:rFonts w:ascii="Aptos" w:hAnsi="Aptos"/>
          <w:sz w:val="24"/>
          <w:szCs w:val="24"/>
        </w:rPr>
      </w:pPr>
      <w:r w:rsidRPr="00D07DCE">
        <w:rPr>
          <w:rFonts w:ascii="Aptos" w:hAnsi="Aptos"/>
          <w:sz w:val="24"/>
          <w:szCs w:val="24"/>
        </w:rPr>
        <w:t>Alternate oocyte collection between left and right ovaries.</w:t>
      </w:r>
    </w:p>
    <w:p w14:paraId="608534AF" w14:textId="77777777" w:rsidR="008209FE" w:rsidRPr="00D07DCE" w:rsidRDefault="008209FE" w:rsidP="008209FE">
      <w:pPr>
        <w:pStyle w:val="ListParagraph"/>
        <w:numPr>
          <w:ilvl w:val="0"/>
          <w:numId w:val="2"/>
        </w:numPr>
        <w:rPr>
          <w:rFonts w:ascii="Aptos" w:hAnsi="Aptos"/>
          <w:sz w:val="24"/>
          <w:szCs w:val="24"/>
        </w:rPr>
      </w:pPr>
      <w:r w:rsidRPr="00D07DCE">
        <w:rPr>
          <w:rFonts w:ascii="Aptos" w:hAnsi="Aptos"/>
          <w:sz w:val="24"/>
          <w:szCs w:val="24"/>
        </w:rPr>
        <w:t xml:space="preserve">Proper technique for survival surgeries must be followed, including the sterilization of instruments between animals, surgical mask and record keeping. </w:t>
      </w:r>
    </w:p>
    <w:p w14:paraId="71430798" w14:textId="77777777" w:rsidR="008209FE" w:rsidRPr="00D07DCE" w:rsidRDefault="008209FE" w:rsidP="008209FE">
      <w:pPr>
        <w:rPr>
          <w:rFonts w:ascii="Aptos" w:hAnsi="Aptos"/>
          <w:sz w:val="24"/>
          <w:szCs w:val="24"/>
        </w:rPr>
      </w:pPr>
    </w:p>
    <w:p w14:paraId="3387533F" w14:textId="77777777" w:rsidR="008209FE" w:rsidRPr="00D07DCE" w:rsidRDefault="008209FE" w:rsidP="00D07DCE">
      <w:pPr>
        <w:spacing w:line="240" w:lineRule="auto"/>
        <w:rPr>
          <w:rFonts w:ascii="Aptos" w:hAnsi="Aptos"/>
          <w:sz w:val="24"/>
          <w:szCs w:val="24"/>
          <w:u w:val="single"/>
        </w:rPr>
      </w:pPr>
      <w:r w:rsidRPr="00D07DCE">
        <w:rPr>
          <w:rFonts w:ascii="Aptos" w:hAnsi="Aptos"/>
          <w:sz w:val="24"/>
          <w:szCs w:val="24"/>
          <w:u w:val="single"/>
        </w:rPr>
        <w:t>Non-Surgical Oocyte Harvest in Frogs</w:t>
      </w:r>
    </w:p>
    <w:p w14:paraId="5EBCE8B8" w14:textId="38AB5BF3" w:rsidR="00D07DCE" w:rsidRPr="00D07DCE" w:rsidRDefault="008209FE">
      <w:pPr>
        <w:rPr>
          <w:rFonts w:ascii="Aptos" w:hAnsi="Aptos"/>
          <w:sz w:val="24"/>
          <w:szCs w:val="24"/>
        </w:rPr>
      </w:pPr>
      <w:r w:rsidRPr="00D07DCE">
        <w:rPr>
          <w:rFonts w:ascii="Aptos" w:hAnsi="Aptos"/>
          <w:sz w:val="24"/>
          <w:szCs w:val="24"/>
        </w:rPr>
        <w:t>There are no limitations for oocyte harvesting using non-surgical methods.</w:t>
      </w:r>
    </w:p>
    <w:sectPr w:rsidR="00D07DCE" w:rsidRPr="00D07DCE" w:rsidSect="007B7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24C77"/>
    <w:multiLevelType w:val="hybridMultilevel"/>
    <w:tmpl w:val="2ADC8B4A"/>
    <w:lvl w:ilvl="0" w:tplc="58CACA7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3E5A08"/>
    <w:multiLevelType w:val="hybridMultilevel"/>
    <w:tmpl w:val="D480C8B8"/>
    <w:lvl w:ilvl="0" w:tplc="E9D665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555696">
    <w:abstractNumId w:val="1"/>
  </w:num>
  <w:num w:numId="2" w16cid:durableId="123589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9FE"/>
    <w:rsid w:val="000417D7"/>
    <w:rsid w:val="00070AFF"/>
    <w:rsid w:val="000B0CD5"/>
    <w:rsid w:val="000D6BF4"/>
    <w:rsid w:val="000F6159"/>
    <w:rsid w:val="002513A8"/>
    <w:rsid w:val="00354212"/>
    <w:rsid w:val="00360EF8"/>
    <w:rsid w:val="003612B9"/>
    <w:rsid w:val="00427D0F"/>
    <w:rsid w:val="00453D2F"/>
    <w:rsid w:val="00456F7A"/>
    <w:rsid w:val="00463FA6"/>
    <w:rsid w:val="004946BE"/>
    <w:rsid w:val="004E08F3"/>
    <w:rsid w:val="0054148B"/>
    <w:rsid w:val="00571C5C"/>
    <w:rsid w:val="005D0BE9"/>
    <w:rsid w:val="006035F3"/>
    <w:rsid w:val="006A0E3D"/>
    <w:rsid w:val="00711E38"/>
    <w:rsid w:val="007B729A"/>
    <w:rsid w:val="007D0E43"/>
    <w:rsid w:val="008209FE"/>
    <w:rsid w:val="00827B90"/>
    <w:rsid w:val="00866A95"/>
    <w:rsid w:val="008944F0"/>
    <w:rsid w:val="008C3C4F"/>
    <w:rsid w:val="00982F4C"/>
    <w:rsid w:val="009E3EA6"/>
    <w:rsid w:val="00A33E92"/>
    <w:rsid w:val="00AD62FE"/>
    <w:rsid w:val="00B27616"/>
    <w:rsid w:val="00B81B2B"/>
    <w:rsid w:val="00B84442"/>
    <w:rsid w:val="00BA7F14"/>
    <w:rsid w:val="00C50638"/>
    <w:rsid w:val="00C82EB0"/>
    <w:rsid w:val="00D07DCE"/>
    <w:rsid w:val="00D74525"/>
    <w:rsid w:val="00D85728"/>
    <w:rsid w:val="00EF5995"/>
    <w:rsid w:val="00F06B0B"/>
    <w:rsid w:val="00F64C4A"/>
    <w:rsid w:val="0DF30865"/>
    <w:rsid w:val="126189BA"/>
    <w:rsid w:val="132B5118"/>
    <w:rsid w:val="29404C49"/>
    <w:rsid w:val="31E0334F"/>
    <w:rsid w:val="33F1A0A3"/>
    <w:rsid w:val="478B0C80"/>
    <w:rsid w:val="50D1DD63"/>
    <w:rsid w:val="5760D2CF"/>
    <w:rsid w:val="6C44D5B8"/>
    <w:rsid w:val="6CFC3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D7C6"/>
  <w15:chartTrackingRefBased/>
  <w15:docId w15:val="{AFC87D50-C12C-6340-A561-BD3DA869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09FE"/>
    <w:pPr>
      <w:spacing w:after="200" w:line="276" w:lineRule="auto"/>
    </w:pPr>
    <w:rPr>
      <w:sz w:val="22"/>
      <w:szCs w:val="22"/>
    </w:rPr>
  </w:style>
  <w:style w:type="paragraph" w:styleId="Heading1">
    <w:name w:val="heading 1"/>
    <w:basedOn w:val="Normal"/>
    <w:next w:val="Normal"/>
    <w:link w:val="Heading1Char"/>
    <w:qFormat/>
    <w:rsid w:val="008209FE"/>
    <w:pPr>
      <w:keepNext/>
      <w:spacing w:after="0" w:line="240" w:lineRule="auto"/>
      <w:ind w:left="180"/>
      <w:jc w:val="center"/>
      <w:outlineLvl w:val="0"/>
    </w:pPr>
    <w:rPr>
      <w:rFonts w:ascii="New York" w:eastAsia="Times New Roman" w:hAnsi="New York" w:cs="Times New Roman"/>
      <w:b/>
      <w:sz w:val="24"/>
      <w:szCs w:val="20"/>
    </w:rPr>
  </w:style>
  <w:style w:type="paragraph" w:styleId="Heading9">
    <w:name w:val="heading 9"/>
    <w:basedOn w:val="Normal"/>
    <w:next w:val="Normal"/>
    <w:link w:val="Heading9Char"/>
    <w:qFormat/>
    <w:rsid w:val="008209FE"/>
    <w:pPr>
      <w:keepNext/>
      <w:spacing w:after="0" w:line="240" w:lineRule="auto"/>
      <w:outlineLvl w:val="8"/>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9FE"/>
    <w:rPr>
      <w:rFonts w:ascii="New York" w:eastAsia="Times New Roman" w:hAnsi="New York" w:cs="Times New Roman"/>
      <w:b/>
      <w:szCs w:val="20"/>
    </w:rPr>
  </w:style>
  <w:style w:type="character" w:customStyle="1" w:styleId="Heading9Char">
    <w:name w:val="Heading 9 Char"/>
    <w:basedOn w:val="DefaultParagraphFont"/>
    <w:link w:val="Heading9"/>
    <w:rsid w:val="008209FE"/>
    <w:rPr>
      <w:rFonts w:ascii="Times New Roman" w:eastAsia="Times New Roman" w:hAnsi="Times New Roman" w:cs="Times New Roman"/>
      <w:sz w:val="28"/>
    </w:rPr>
  </w:style>
  <w:style w:type="paragraph" w:styleId="NoSpacing">
    <w:name w:val="No Spacing"/>
    <w:uiPriority w:val="1"/>
    <w:qFormat/>
    <w:rsid w:val="008209FE"/>
    <w:rPr>
      <w:sz w:val="22"/>
      <w:szCs w:val="22"/>
    </w:rPr>
  </w:style>
  <w:style w:type="paragraph" w:styleId="Footer">
    <w:name w:val="footer"/>
    <w:basedOn w:val="Normal"/>
    <w:link w:val="FooterChar"/>
    <w:rsid w:val="008209FE"/>
    <w:pPr>
      <w:tabs>
        <w:tab w:val="center" w:pos="4320"/>
        <w:tab w:val="right" w:pos="8640"/>
      </w:tabs>
      <w:spacing w:after="0" w:line="240" w:lineRule="auto"/>
    </w:pPr>
    <w:rPr>
      <w:rFonts w:ascii="New York" w:eastAsia="Times New Roman" w:hAnsi="New York" w:cs="Times New Roman"/>
      <w:sz w:val="24"/>
      <w:szCs w:val="20"/>
    </w:rPr>
  </w:style>
  <w:style w:type="character" w:customStyle="1" w:styleId="FooterChar">
    <w:name w:val="Footer Char"/>
    <w:basedOn w:val="DefaultParagraphFont"/>
    <w:link w:val="Footer"/>
    <w:rsid w:val="008209FE"/>
    <w:rPr>
      <w:rFonts w:ascii="New York" w:eastAsia="Times New Roman" w:hAnsi="New York" w:cs="Times New Roman"/>
      <w:szCs w:val="20"/>
    </w:rPr>
  </w:style>
  <w:style w:type="paragraph" w:styleId="BodyText">
    <w:name w:val="Body Text"/>
    <w:basedOn w:val="Normal"/>
    <w:link w:val="BodyTextChar"/>
    <w:rsid w:val="008209FE"/>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8209FE"/>
    <w:rPr>
      <w:rFonts w:ascii="Times New Roman" w:eastAsia="Times New Roman" w:hAnsi="Times New Roman" w:cs="Times New Roman"/>
      <w:b/>
      <w:szCs w:val="20"/>
    </w:rPr>
  </w:style>
  <w:style w:type="paragraph" w:styleId="ListParagraph">
    <w:name w:val="List Paragraph"/>
    <w:basedOn w:val="Normal"/>
    <w:uiPriority w:val="34"/>
    <w:qFormat/>
    <w:rsid w:val="008209F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597512E27B7E4D8EC585E40A5BF799" ma:contentTypeVersion="8" ma:contentTypeDescription="Create a new document." ma:contentTypeScope="" ma:versionID="a53697642ebab6fc80f613c2a6bb4b38">
  <xsd:schema xmlns:xsd="http://www.w3.org/2001/XMLSchema" xmlns:xs="http://www.w3.org/2001/XMLSchema" xmlns:p="http://schemas.microsoft.com/office/2006/metadata/properties" xmlns:ns2="71ba9549-2a54-43b5-a1f1-cc0237e52f86" xmlns:ns3="715013b0-5c8f-4e04-8d45-a7653fd0f18f" targetNamespace="http://schemas.microsoft.com/office/2006/metadata/properties" ma:root="true" ma:fieldsID="23be1df4132c418b452200f03321b7e5" ns2:_="" ns3:_="">
    <xsd:import namespace="71ba9549-2a54-43b5-a1f1-cc0237e52f86"/>
    <xsd:import namespace="715013b0-5c8f-4e04-8d45-a7653fd0f1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a9549-2a54-43b5-a1f1-cc0237e52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013b0-5c8f-4e04-8d45-a7653fd0f1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E29E4-1BDF-4CE5-B42A-52001CA7A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81FF6C-4C02-49F1-9D3E-0220812AB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a9549-2a54-43b5-a1f1-cc0237e52f86"/>
    <ds:schemaRef ds:uri="715013b0-5c8f-4e04-8d45-a7653fd0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38C90-C97B-406E-92FC-A4B6DF4FA439}">
  <ds:schemaRefs>
    <ds:schemaRef ds:uri="http://schemas.microsoft.com/sharepoint/v3/contenttype/forms"/>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Sean</dc:creator>
  <cp:keywords/>
  <dc:description/>
  <cp:lastModifiedBy>Sullivan, Sean</cp:lastModifiedBy>
  <cp:revision>20</cp:revision>
  <dcterms:created xsi:type="dcterms:W3CDTF">2024-08-14T15:53:00Z</dcterms:created>
  <dcterms:modified xsi:type="dcterms:W3CDTF">2024-11-21T21:05:00Z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0x010100D6597512E27B7E4D8EC585E40A5BF799</vt:lpwstr>
  </property>
</Properties>
</file>