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D6048" w14:textId="77777777" w:rsidR="000771CA" w:rsidRPr="00FF681A" w:rsidRDefault="000771CA" w:rsidP="000771CA">
      <w:pPr>
        <w:rPr>
          <w:rFonts w:ascii="Aptos" w:hAnsi="Aptos"/>
          <w14:shadow w14:blurRad="50800" w14:dist="38100" w14:dir="2700000" w14:sx="100000" w14:sy="100000" w14:kx="0" w14:ky="0" w14:algn="tl">
            <w14:srgbClr w14:val="000000">
              <w14:alpha w14:val="60000"/>
            </w14:srgbClr>
          </w14:shadow>
        </w:rPr>
      </w:pPr>
      <w:r w:rsidRPr="00FF681A">
        <w:rPr>
          <w:rFonts w:ascii="Aptos" w:hAnsi="Aptos"/>
          <w:sz w:val="154"/>
          <w14:shadow w14:blurRad="50800" w14:dist="38100" w14:dir="2700000" w14:sx="100000" w14:sy="100000" w14:kx="0" w14:ky="0" w14:algn="tl">
            <w14:srgbClr w14:val="000000">
              <w14:alpha w14:val="60000"/>
            </w14:srgbClr>
          </w14:shadow>
        </w:rPr>
        <w:t>NU</w:t>
      </w:r>
      <w:r w:rsidRPr="000771CA">
        <w:rPr>
          <w:rFonts w:ascii="Aptos" w:hAnsi="Aptos"/>
          <w:outline/>
          <w:color w:val="000000"/>
          <w:sz w:val="84"/>
          <w14:textOutline w14:w="9525" w14:cap="flat" w14:cmpd="sng" w14:algn="ctr">
            <w14:solidFill>
              <w14:srgbClr w14:val="000000"/>
            </w14:solidFill>
            <w14:prstDash w14:val="solid"/>
            <w14:round/>
          </w14:textOutline>
          <w14:textFill>
            <w14:noFill/>
          </w14:textFill>
        </w:rPr>
        <w:t>–</w:t>
      </w:r>
      <w:r w:rsidRPr="000771CA">
        <w:rPr>
          <w:rFonts w:ascii="Aptos" w:hAnsi="Aptos"/>
          <w:outline/>
          <w:color w:val="000000"/>
          <w:sz w:val="60"/>
          <w:u w:val="singl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IACUC POLICY</w:t>
      </w:r>
    </w:p>
    <w:p w14:paraId="747678CD" w14:textId="2EE93C41" w:rsidR="000771CA" w:rsidRPr="000771CA" w:rsidRDefault="000771CA" w:rsidP="000771CA">
      <w:pPr>
        <w:pStyle w:val="Heading9"/>
        <w:rPr>
          <w:rFonts w:ascii="Aptos" w:hAnsi="Aptos"/>
          <w:szCs w:val="28"/>
          <w:u w:val="single"/>
        </w:rPr>
      </w:pPr>
      <w:r w:rsidRPr="00FF681A">
        <w:rPr>
          <w:rFonts w:ascii="Aptos" w:hAnsi="Aptos"/>
          <w:szCs w:val="28"/>
        </w:rPr>
        <w:t>Northeastern University Institutional Animal Care and Use Committee</w:t>
      </w:r>
    </w:p>
    <w:p w14:paraId="3CE4F932" w14:textId="77777777" w:rsidR="00603401" w:rsidRDefault="00603401" w:rsidP="00603401">
      <w:pPr>
        <w:pStyle w:val="Footer"/>
        <w:tabs>
          <w:tab w:val="left" w:pos="720"/>
        </w:tabs>
        <w:rPr>
          <w:rFonts w:ascii="Times New Roman" w:hAnsi="Times New Roman"/>
        </w:rPr>
      </w:pPr>
    </w:p>
    <w:tbl>
      <w:tblPr>
        <w:tblW w:w="0" w:type="auto"/>
        <w:tblBorders>
          <w:top w:val="threeDEmboss" w:sz="24" w:space="0" w:color="auto"/>
          <w:left w:val="threeDEmboss" w:sz="24" w:space="0" w:color="auto"/>
          <w:bottom w:val="threeDEmboss" w:sz="24" w:space="0" w:color="auto"/>
          <w:right w:val="threeDEmboss" w:sz="24" w:space="0" w:color="auto"/>
        </w:tblBorders>
        <w:tblLook w:val="0000" w:firstRow="0" w:lastRow="0" w:firstColumn="0" w:lastColumn="0" w:noHBand="0" w:noVBand="0"/>
      </w:tblPr>
      <w:tblGrid>
        <w:gridCol w:w="8856"/>
      </w:tblGrid>
      <w:tr w:rsidR="00603401" w14:paraId="0825E26A" w14:textId="77777777" w:rsidTr="00603401">
        <w:trPr>
          <w:trHeight w:val="1131"/>
        </w:trPr>
        <w:tc>
          <w:tcPr>
            <w:tcW w:w="8856" w:type="dxa"/>
            <w:tcBorders>
              <w:top w:val="threeDEmboss" w:sz="24" w:space="0" w:color="auto"/>
              <w:left w:val="threeDEmboss" w:sz="24" w:space="0" w:color="auto"/>
              <w:bottom w:val="threeDEmboss" w:sz="24" w:space="0" w:color="auto"/>
              <w:right w:val="threeDEmboss" w:sz="24" w:space="0" w:color="auto"/>
            </w:tcBorders>
          </w:tcPr>
          <w:p w14:paraId="3738C67C" w14:textId="77777777" w:rsidR="00603401" w:rsidRDefault="00603401" w:rsidP="002549D6">
            <w:pPr>
              <w:rPr>
                <w:b/>
                <w:sz w:val="36"/>
                <w:szCs w:val="20"/>
              </w:rPr>
            </w:pPr>
          </w:p>
          <w:p w14:paraId="1F98432C" w14:textId="027C4257" w:rsidR="00603401" w:rsidRPr="00603401" w:rsidRDefault="00603401" w:rsidP="00603401">
            <w:pPr>
              <w:pStyle w:val="Heading1"/>
              <w:ind w:left="0"/>
              <w:rPr>
                <w:rFonts w:eastAsia="Arial Unicode MS"/>
                <w:sz w:val="28"/>
              </w:rPr>
            </w:pPr>
            <w:r>
              <w:rPr>
                <w:sz w:val="28"/>
              </w:rPr>
              <w:t xml:space="preserve">Retro-Orbital Injection in </w:t>
            </w:r>
            <w:r w:rsidR="00754921">
              <w:rPr>
                <w:sz w:val="28"/>
              </w:rPr>
              <w:t>Mice</w:t>
            </w:r>
          </w:p>
          <w:p w14:paraId="2F55C2FB" w14:textId="77777777" w:rsidR="00603401" w:rsidRDefault="00603401" w:rsidP="002549D6">
            <w:pPr>
              <w:pStyle w:val="Footer"/>
              <w:tabs>
                <w:tab w:val="left" w:pos="720"/>
              </w:tabs>
              <w:rPr>
                <w:rFonts w:ascii="Times New Roman" w:hAnsi="Times New Roman"/>
                <w:sz w:val="22"/>
              </w:rPr>
            </w:pPr>
          </w:p>
        </w:tc>
      </w:tr>
    </w:tbl>
    <w:p w14:paraId="3B68AC70" w14:textId="77777777" w:rsidR="00A63BB3" w:rsidRPr="00A63BB3" w:rsidRDefault="00A63BB3" w:rsidP="000771CA">
      <w:pPr>
        <w:rPr>
          <w:rFonts w:ascii="Times New Roman" w:hAnsi="Times New Roman" w:cs="Times New Roman"/>
          <w:i/>
          <w:sz w:val="10"/>
          <w:szCs w:val="10"/>
        </w:rPr>
      </w:pPr>
    </w:p>
    <w:p w14:paraId="142F6D16" w14:textId="77777777" w:rsidR="000771CA" w:rsidRDefault="000771CA" w:rsidP="00A63BB3">
      <w:pPr>
        <w:jc w:val="center"/>
        <w:rPr>
          <w:rFonts w:ascii="Times New Roman" w:hAnsi="Times New Roman" w:cs="Times New Roman"/>
          <w:i/>
        </w:rPr>
      </w:pPr>
    </w:p>
    <w:p w14:paraId="180F9B67" w14:textId="13B85650" w:rsidR="00A63BB3" w:rsidRDefault="00A63BB3" w:rsidP="00A63BB3">
      <w:pPr>
        <w:jc w:val="center"/>
        <w:rPr>
          <w:rFonts w:ascii="Times New Roman" w:hAnsi="Times New Roman" w:cs="Times New Roman"/>
          <w:i/>
        </w:rPr>
      </w:pPr>
      <w:r w:rsidRPr="002678D8">
        <w:rPr>
          <w:rFonts w:ascii="Times New Roman" w:hAnsi="Times New Roman" w:cs="Times New Roman"/>
          <w:i/>
        </w:rPr>
        <w:t xml:space="preserve">IACUC </w:t>
      </w:r>
      <w:r>
        <w:rPr>
          <w:rFonts w:ascii="Times New Roman" w:hAnsi="Times New Roman" w:cs="Times New Roman"/>
          <w:i/>
        </w:rPr>
        <w:t>Approval</w:t>
      </w:r>
      <w:r w:rsidRPr="002678D8">
        <w:rPr>
          <w:rFonts w:ascii="Times New Roman" w:hAnsi="Times New Roman" w:cs="Times New Roman"/>
          <w:i/>
        </w:rPr>
        <w:t xml:space="preserve"> Date: </w:t>
      </w:r>
      <w:r w:rsidR="00E96FFF">
        <w:rPr>
          <w:rFonts w:ascii="Times New Roman" w:hAnsi="Times New Roman" w:cs="Times New Roman"/>
          <w:i/>
        </w:rPr>
        <w:t>03/11/2025</w:t>
      </w:r>
    </w:p>
    <w:p w14:paraId="61E41BF5" w14:textId="07116A69" w:rsidR="00D8756E" w:rsidRDefault="00D8756E">
      <w:pPr>
        <w:rPr>
          <w:rFonts w:cstheme="minorHAnsi"/>
        </w:rPr>
      </w:pPr>
    </w:p>
    <w:p w14:paraId="38A47454" w14:textId="77777777" w:rsidR="00A63BB3" w:rsidRPr="00D8756E" w:rsidRDefault="00A63BB3">
      <w:pPr>
        <w:rPr>
          <w:rFonts w:cstheme="minorHAnsi"/>
        </w:rPr>
      </w:pPr>
    </w:p>
    <w:p w14:paraId="422C00E8" w14:textId="284DCF00" w:rsidR="00D8756E" w:rsidRPr="00E96FFF" w:rsidRDefault="004D1AB3">
      <w:pPr>
        <w:rPr>
          <w:rFonts w:cstheme="minorHAnsi"/>
          <w:u w:val="single"/>
        </w:rPr>
      </w:pPr>
      <w:r w:rsidRPr="00E96FFF">
        <w:rPr>
          <w:rFonts w:cstheme="minorHAnsi"/>
          <w:u w:val="single"/>
        </w:rPr>
        <w:t>Introduction:</w:t>
      </w:r>
    </w:p>
    <w:p w14:paraId="101BB164" w14:textId="59727F39" w:rsidR="004D1AB3" w:rsidRDefault="00D8756E" w:rsidP="004D1AB3">
      <w:pPr>
        <w:rPr>
          <w:rFonts w:cstheme="minorHAnsi"/>
        </w:rPr>
      </w:pPr>
      <w:r w:rsidRPr="00D8756E">
        <w:rPr>
          <w:rFonts w:cstheme="minorHAnsi"/>
        </w:rPr>
        <w:t>The retro-orbita</w:t>
      </w:r>
      <w:r w:rsidR="00704499" w:rsidRPr="00D8756E">
        <w:rPr>
          <w:rFonts w:cstheme="minorHAnsi"/>
        </w:rPr>
        <w:t>l</w:t>
      </w:r>
      <w:r w:rsidR="00704499">
        <w:rPr>
          <w:rFonts w:cstheme="minorHAnsi"/>
        </w:rPr>
        <w:t xml:space="preserve"> (RO)</w:t>
      </w:r>
      <w:r w:rsidR="00704499" w:rsidRPr="00D8756E">
        <w:rPr>
          <w:rFonts w:cstheme="minorHAnsi"/>
        </w:rPr>
        <w:t xml:space="preserve"> </w:t>
      </w:r>
      <w:r w:rsidRPr="00D8756E">
        <w:rPr>
          <w:rFonts w:cstheme="minorHAnsi"/>
        </w:rPr>
        <w:t>injection</w:t>
      </w:r>
      <w:r w:rsidR="00704499">
        <w:rPr>
          <w:rFonts w:cstheme="minorHAnsi"/>
        </w:rPr>
        <w:t xml:space="preserve"> </w:t>
      </w:r>
      <w:r w:rsidRPr="00D8756E">
        <w:rPr>
          <w:rFonts w:cstheme="minorHAnsi"/>
        </w:rPr>
        <w:t>is an acceptable alternative to the</w:t>
      </w:r>
      <w:r w:rsidR="00704499">
        <w:rPr>
          <w:rFonts w:cstheme="minorHAnsi"/>
        </w:rPr>
        <w:t xml:space="preserve"> intravenous (IV) </w:t>
      </w:r>
      <w:r w:rsidRPr="00D8756E">
        <w:rPr>
          <w:rFonts w:cstheme="minorHAnsi"/>
        </w:rPr>
        <w:t xml:space="preserve">tail vein injection </w:t>
      </w:r>
      <w:r w:rsidR="00704499">
        <w:rPr>
          <w:rFonts w:cstheme="minorHAnsi"/>
        </w:rPr>
        <w:t xml:space="preserve">procedure for injecting substances that must be injected intravenously.  </w:t>
      </w:r>
      <w:r w:rsidRPr="00D8756E">
        <w:rPr>
          <w:rFonts w:cstheme="minorHAnsi"/>
        </w:rPr>
        <w:t xml:space="preserve">The route </w:t>
      </w:r>
      <w:r w:rsidR="00603401">
        <w:rPr>
          <w:rFonts w:cstheme="minorHAnsi"/>
        </w:rPr>
        <w:t>described in</w:t>
      </w:r>
      <w:r w:rsidRPr="00D8756E">
        <w:rPr>
          <w:rFonts w:cstheme="minorHAnsi"/>
        </w:rPr>
        <w:t xml:space="preserve"> the protocol should be based on the researcher’s level of training and proficiency with the retro-orbital or tail vein injection. </w:t>
      </w:r>
      <w:r w:rsidR="00704499">
        <w:rPr>
          <w:rFonts w:cstheme="minorHAnsi"/>
        </w:rPr>
        <w:t xml:space="preserve"> Many personnel find the time from </w:t>
      </w:r>
      <w:r w:rsidR="00603401">
        <w:rPr>
          <w:rFonts w:cstheme="minorHAnsi"/>
        </w:rPr>
        <w:t>initial training</w:t>
      </w:r>
      <w:r w:rsidR="00704499">
        <w:rPr>
          <w:rFonts w:cstheme="minorHAnsi"/>
        </w:rPr>
        <w:t xml:space="preserve"> to proficiency </w:t>
      </w:r>
      <w:r w:rsidR="00603401">
        <w:rPr>
          <w:rFonts w:cstheme="minorHAnsi"/>
        </w:rPr>
        <w:t xml:space="preserve">is </w:t>
      </w:r>
      <w:r w:rsidR="00704499">
        <w:rPr>
          <w:rFonts w:cstheme="minorHAnsi"/>
        </w:rPr>
        <w:t>shorter in RO injection than tail vein injection.</w:t>
      </w:r>
      <w:r w:rsidR="004D1AB3" w:rsidRPr="004D1AB3">
        <w:rPr>
          <w:rFonts w:cstheme="minorHAnsi"/>
        </w:rPr>
        <w:t xml:space="preserve"> </w:t>
      </w:r>
      <w:r w:rsidR="004D1AB3">
        <w:rPr>
          <w:rFonts w:cstheme="minorHAnsi"/>
        </w:rPr>
        <w:t xml:space="preserve"> The IACUC requires that all personnel performing this procedure be trained by DLAM Staff and that they prove competency in performing the procedure.</w:t>
      </w:r>
    </w:p>
    <w:p w14:paraId="70FAD68D" w14:textId="77777777" w:rsidR="004D1AB3" w:rsidRPr="00D8756E" w:rsidRDefault="004D1AB3" w:rsidP="00D8756E">
      <w:pPr>
        <w:rPr>
          <w:rFonts w:cstheme="minorHAnsi"/>
        </w:rPr>
      </w:pPr>
    </w:p>
    <w:p w14:paraId="5D0DD2F1" w14:textId="60BAD123" w:rsidR="00D8756E" w:rsidRDefault="00D8756E" w:rsidP="00D8756E">
      <w:pPr>
        <w:rPr>
          <w:rFonts w:cstheme="minorHAnsi"/>
        </w:rPr>
      </w:pPr>
      <w:r w:rsidRPr="00D8756E">
        <w:rPr>
          <w:rFonts w:cstheme="minorHAnsi"/>
        </w:rPr>
        <w:t xml:space="preserve">When administering a retro-orbital injection, anesthesia is required in animals ≥7 days of age. When performed proficiently, this procedure will take less than five minutes.  In which case, a heat source is not required. </w:t>
      </w:r>
    </w:p>
    <w:p w14:paraId="40E15614" w14:textId="4C0AF337" w:rsidR="00A36FB9" w:rsidRDefault="00A36FB9" w:rsidP="00D8756E">
      <w:pPr>
        <w:rPr>
          <w:rFonts w:cstheme="minorHAnsi"/>
        </w:rPr>
      </w:pPr>
    </w:p>
    <w:p w14:paraId="76626055" w14:textId="77777777" w:rsidR="00D8756E" w:rsidRPr="00D8756E" w:rsidRDefault="00D8756E" w:rsidP="00D8756E">
      <w:pPr>
        <w:rPr>
          <w:rFonts w:cstheme="minorHAnsi"/>
        </w:rPr>
      </w:pPr>
      <w:r w:rsidRPr="00D8756E">
        <w:rPr>
          <w:rFonts w:cstheme="minorHAnsi"/>
        </w:rPr>
        <w:t xml:space="preserve">Up to 1% of the animal’s body weight in volume can be administered per injection. The maximum injectable volume 150µL in adults and 10µL in neonates.  Cell suspensions are filtered or agitated prior to injection to prevent cell clumping.  A mouse can receive no more than one injection per day.  When more than one injection is required, alternate between eyes and allow 1-2 days between injection sites.  Do not exceed two injections per eye in a mouse.  </w:t>
      </w:r>
    </w:p>
    <w:p w14:paraId="665BB6E2" w14:textId="77777777" w:rsidR="00603401" w:rsidRDefault="00603401" w:rsidP="00D8756E">
      <w:pPr>
        <w:rPr>
          <w:rFonts w:cstheme="minorHAnsi"/>
        </w:rPr>
      </w:pPr>
    </w:p>
    <w:p w14:paraId="1E0B9B9E" w14:textId="4C781B5E" w:rsidR="00F15AE9" w:rsidRDefault="004D2359" w:rsidP="00D8756E">
      <w:pPr>
        <w:rPr>
          <w:rFonts w:cstheme="minorHAnsi"/>
        </w:rPr>
      </w:pPr>
      <w:r>
        <w:rPr>
          <w:rFonts w:cstheme="minorHAnsi"/>
        </w:rPr>
        <w:t>Person pe</w:t>
      </w:r>
      <w:r w:rsidR="00FB0D2E">
        <w:rPr>
          <w:rFonts w:cstheme="minorHAnsi"/>
        </w:rPr>
        <w:t>r</w:t>
      </w:r>
      <w:r>
        <w:rPr>
          <w:rFonts w:cstheme="minorHAnsi"/>
        </w:rPr>
        <w:t>form</w:t>
      </w:r>
      <w:r w:rsidR="00FB0D2E">
        <w:rPr>
          <w:rFonts w:cstheme="minorHAnsi"/>
        </w:rPr>
        <w:t>ing</w:t>
      </w:r>
      <w:r>
        <w:rPr>
          <w:rFonts w:cstheme="minorHAnsi"/>
        </w:rPr>
        <w:t xml:space="preserve"> the procedure must wear a yellow </w:t>
      </w:r>
      <w:r w:rsidR="00FB0D2E">
        <w:rPr>
          <w:rFonts w:cstheme="minorHAnsi"/>
        </w:rPr>
        <w:t>animal gown, mask, gloves, and safety glasses.</w:t>
      </w:r>
    </w:p>
    <w:p w14:paraId="2AC0DB18" w14:textId="77777777" w:rsidR="00F15AE9" w:rsidRDefault="00F15AE9" w:rsidP="00D8756E">
      <w:pPr>
        <w:rPr>
          <w:rFonts w:cstheme="minorHAnsi"/>
        </w:rPr>
      </w:pPr>
    </w:p>
    <w:p w14:paraId="7C750768" w14:textId="6ECA238F" w:rsidR="00D8756E" w:rsidRPr="00603401" w:rsidRDefault="00603401" w:rsidP="00D8756E">
      <w:pPr>
        <w:rPr>
          <w:rFonts w:cstheme="minorHAnsi"/>
          <w:b/>
          <w:bCs/>
          <w:u w:val="single"/>
        </w:rPr>
      </w:pPr>
      <w:r w:rsidRPr="00603401">
        <w:rPr>
          <w:rFonts w:cstheme="minorHAnsi"/>
          <w:b/>
          <w:bCs/>
          <w:u w:val="single"/>
        </w:rPr>
        <w:t xml:space="preserve">Procedure for </w:t>
      </w:r>
      <w:r w:rsidR="00D8756E" w:rsidRPr="00603401">
        <w:rPr>
          <w:rFonts w:cstheme="minorHAnsi"/>
          <w:b/>
          <w:bCs/>
          <w:u w:val="single"/>
        </w:rPr>
        <w:t>Juvenile and adult mice (≥7 d old)</w:t>
      </w:r>
      <w:r w:rsidR="004D1AB3" w:rsidRPr="00603401">
        <w:rPr>
          <w:rFonts w:cstheme="minorHAnsi"/>
          <w:b/>
          <w:bCs/>
          <w:u w:val="single"/>
        </w:rPr>
        <w:t>.</w:t>
      </w:r>
    </w:p>
    <w:p w14:paraId="0A6561AC" w14:textId="77777777" w:rsidR="004D1AB3" w:rsidRDefault="004D1AB3" w:rsidP="004D1AB3">
      <w:pPr>
        <w:rPr>
          <w:rFonts w:cstheme="minorHAnsi"/>
        </w:rPr>
      </w:pPr>
    </w:p>
    <w:p w14:paraId="6831714E" w14:textId="5421909D" w:rsidR="00F62044" w:rsidRPr="00CD1784" w:rsidRDefault="004D1AB3" w:rsidP="00D8756E">
      <w:pPr>
        <w:rPr>
          <w:rFonts w:cstheme="minorHAnsi"/>
          <w:u w:val="single"/>
        </w:rPr>
      </w:pPr>
      <w:r w:rsidRPr="00603401">
        <w:rPr>
          <w:rFonts w:cstheme="minorHAnsi"/>
          <w:u w:val="single"/>
        </w:rPr>
        <w:t>Procedure</w:t>
      </w:r>
      <w:r w:rsidR="00CD1784">
        <w:rPr>
          <w:rFonts w:cstheme="minorHAnsi"/>
          <w:u w:val="single"/>
        </w:rPr>
        <w:t xml:space="preserve"> &amp; Set Up</w:t>
      </w:r>
      <w:r w:rsidRPr="00603401">
        <w:rPr>
          <w:rFonts w:cstheme="minorHAnsi"/>
          <w:u w:val="single"/>
        </w:rPr>
        <w:t>:</w:t>
      </w:r>
    </w:p>
    <w:p w14:paraId="1CB9DDD4" w14:textId="206EE436" w:rsidR="00F62044" w:rsidRPr="00F62044" w:rsidRDefault="00F62044" w:rsidP="00754921">
      <w:pPr>
        <w:pStyle w:val="ListParagraph"/>
        <w:numPr>
          <w:ilvl w:val="0"/>
          <w:numId w:val="2"/>
        </w:numPr>
        <w:rPr>
          <w:rFonts w:cstheme="minorHAnsi"/>
        </w:rPr>
      </w:pPr>
      <w:r w:rsidRPr="00F62044">
        <w:rPr>
          <w:rFonts w:cstheme="minorHAnsi"/>
        </w:rPr>
        <w:t>P</w:t>
      </w:r>
      <w:r w:rsidR="00D8756E" w:rsidRPr="00F62044">
        <w:rPr>
          <w:rFonts w:eastAsia="Times New Roman" w:cstheme="minorHAnsi"/>
        </w:rPr>
        <w:t xml:space="preserve">repare the syringes first. </w:t>
      </w:r>
      <w:r>
        <w:rPr>
          <w:rFonts w:eastAsia="Times New Roman" w:cstheme="minorHAnsi"/>
        </w:rPr>
        <w:t xml:space="preserve"> We suggest using </w:t>
      </w:r>
      <w:r w:rsidR="00D8756E" w:rsidRPr="00F62044">
        <w:rPr>
          <w:rFonts w:eastAsia="Times New Roman" w:cstheme="minorHAnsi"/>
        </w:rPr>
        <w:t>0.5-in insulin</w:t>
      </w:r>
      <w:r>
        <w:rPr>
          <w:rFonts w:eastAsia="Times New Roman" w:cstheme="minorHAnsi"/>
        </w:rPr>
        <w:t xml:space="preserve"> </w:t>
      </w:r>
      <w:r w:rsidR="00D8756E" w:rsidRPr="00F62044">
        <w:rPr>
          <w:rFonts w:eastAsia="Times New Roman" w:cstheme="minorHAnsi"/>
        </w:rPr>
        <w:t xml:space="preserve">needle and </w:t>
      </w:r>
      <w:proofErr w:type="gramStart"/>
      <w:r w:rsidR="00D8756E" w:rsidRPr="00F62044">
        <w:rPr>
          <w:rFonts w:eastAsia="Times New Roman" w:cstheme="minorHAnsi"/>
        </w:rPr>
        <w:t>syringe</w:t>
      </w:r>
      <w:r w:rsidR="00603401">
        <w:rPr>
          <w:rFonts w:eastAsia="Times New Roman" w:cstheme="minorHAnsi"/>
        </w:rPr>
        <w:t>(</w:t>
      </w:r>
      <w:proofErr w:type="gramEnd"/>
      <w:r w:rsidR="00603401">
        <w:rPr>
          <w:rFonts w:eastAsia="Times New Roman" w:cstheme="minorHAnsi"/>
        </w:rPr>
        <w:t>one unit)</w:t>
      </w:r>
      <w:r w:rsidR="00D8756E" w:rsidRPr="00F62044">
        <w:rPr>
          <w:rFonts w:eastAsia="Times New Roman" w:cstheme="minorHAnsi"/>
        </w:rPr>
        <w:t xml:space="preserve">. </w:t>
      </w:r>
    </w:p>
    <w:p w14:paraId="3CF27329" w14:textId="28061F51" w:rsidR="00F62044" w:rsidRPr="00F62044" w:rsidRDefault="00603401" w:rsidP="00754921">
      <w:pPr>
        <w:pStyle w:val="ListParagraph"/>
        <w:numPr>
          <w:ilvl w:val="0"/>
          <w:numId w:val="2"/>
        </w:numPr>
        <w:rPr>
          <w:rFonts w:cstheme="minorHAnsi"/>
        </w:rPr>
      </w:pPr>
      <w:r>
        <w:rPr>
          <w:rFonts w:eastAsia="Times New Roman" w:cstheme="minorHAnsi"/>
        </w:rPr>
        <w:t>I</w:t>
      </w:r>
      <w:r w:rsidR="00D8756E" w:rsidRPr="00F62044">
        <w:rPr>
          <w:rFonts w:eastAsia="Times New Roman" w:cstheme="minorHAnsi"/>
        </w:rPr>
        <w:t>nject</w:t>
      </w:r>
      <w:r w:rsidR="00985A7C">
        <w:rPr>
          <w:rFonts w:eastAsia="Times New Roman" w:cstheme="minorHAnsi"/>
        </w:rPr>
        <w:t>ion</w:t>
      </w:r>
      <w:r w:rsidR="00D8756E" w:rsidRPr="00F62044">
        <w:rPr>
          <w:rFonts w:eastAsia="Times New Roman" w:cstheme="minorHAnsi"/>
        </w:rPr>
        <w:t xml:space="preserve"> volumes </w:t>
      </w:r>
      <w:r>
        <w:rPr>
          <w:rFonts w:eastAsia="Times New Roman" w:cstheme="minorHAnsi"/>
        </w:rPr>
        <w:t>cannot</w:t>
      </w:r>
      <w:r w:rsidR="00D8756E" w:rsidRPr="00F62044">
        <w:rPr>
          <w:rFonts w:eastAsia="Times New Roman" w:cstheme="minorHAnsi"/>
        </w:rPr>
        <w:t xml:space="preserve"> exceed 150 </w:t>
      </w:r>
      <w:proofErr w:type="spellStart"/>
      <w:r w:rsidR="00D8756E" w:rsidRPr="00F62044">
        <w:rPr>
          <w:rFonts w:eastAsia="Times New Roman" w:cstheme="minorHAnsi"/>
        </w:rPr>
        <w:t>μl</w:t>
      </w:r>
      <w:proofErr w:type="spellEnd"/>
      <w:r w:rsidR="00D8756E" w:rsidRPr="00F62044">
        <w:rPr>
          <w:rFonts w:eastAsia="Times New Roman" w:cstheme="minorHAnsi"/>
        </w:rPr>
        <w:t>.</w:t>
      </w:r>
    </w:p>
    <w:p w14:paraId="21B58246" w14:textId="77777777" w:rsidR="00F62044" w:rsidRPr="00F62044" w:rsidRDefault="00F62044" w:rsidP="00754921">
      <w:pPr>
        <w:pStyle w:val="ListParagraph"/>
        <w:numPr>
          <w:ilvl w:val="0"/>
          <w:numId w:val="2"/>
        </w:numPr>
        <w:rPr>
          <w:rFonts w:cstheme="minorHAnsi"/>
        </w:rPr>
      </w:pPr>
      <w:r>
        <w:rPr>
          <w:rFonts w:eastAsia="Times New Roman" w:cstheme="minorHAnsi"/>
        </w:rPr>
        <w:lastRenderedPageBreak/>
        <w:t>Anesthetize the mouse with isoflurane anesthesia.</w:t>
      </w:r>
    </w:p>
    <w:p w14:paraId="5D9FAE5F" w14:textId="4E6482F0" w:rsidR="00985A7C" w:rsidRPr="00985A7C" w:rsidRDefault="00D8756E" w:rsidP="00754921">
      <w:pPr>
        <w:pStyle w:val="ListParagraph"/>
        <w:numPr>
          <w:ilvl w:val="0"/>
          <w:numId w:val="2"/>
        </w:numPr>
        <w:rPr>
          <w:rFonts w:cstheme="minorHAnsi"/>
        </w:rPr>
      </w:pPr>
      <w:r w:rsidRPr="00985A7C">
        <w:rPr>
          <w:rFonts w:eastAsia="Times New Roman" w:cstheme="minorHAnsi"/>
        </w:rPr>
        <w:t>To decrease the likelihood of the mouse developing hypothermia, the</w:t>
      </w:r>
      <w:r w:rsidR="00985A7C">
        <w:rPr>
          <w:rFonts w:eastAsia="Times New Roman" w:cstheme="minorHAnsi"/>
        </w:rPr>
        <w:t xml:space="preserve"> </w:t>
      </w:r>
      <w:r w:rsidRPr="00985A7C">
        <w:rPr>
          <w:rFonts w:eastAsia="Times New Roman" w:cstheme="minorHAnsi"/>
        </w:rPr>
        <w:t xml:space="preserve">mouse </w:t>
      </w:r>
      <w:r w:rsidR="00603401">
        <w:rPr>
          <w:rFonts w:eastAsia="Times New Roman" w:cstheme="minorHAnsi"/>
        </w:rPr>
        <w:t>must</w:t>
      </w:r>
      <w:r w:rsidRPr="00985A7C">
        <w:rPr>
          <w:rFonts w:eastAsia="Times New Roman" w:cstheme="minorHAnsi"/>
        </w:rPr>
        <w:t xml:space="preserve"> be placed on </w:t>
      </w:r>
      <w:r w:rsidR="00985A7C">
        <w:rPr>
          <w:rFonts w:eastAsia="Times New Roman" w:cstheme="minorHAnsi"/>
        </w:rPr>
        <w:t>heat</w:t>
      </w:r>
    </w:p>
    <w:p w14:paraId="24CC26CF" w14:textId="1E31A5FC" w:rsidR="00985A7C" w:rsidRPr="00985A7C" w:rsidRDefault="00985A7C" w:rsidP="00754921">
      <w:pPr>
        <w:pStyle w:val="ListParagraph"/>
        <w:numPr>
          <w:ilvl w:val="0"/>
          <w:numId w:val="2"/>
        </w:numPr>
        <w:rPr>
          <w:rFonts w:cstheme="minorHAnsi"/>
        </w:rPr>
      </w:pPr>
      <w:r>
        <w:rPr>
          <w:rFonts w:eastAsia="Times New Roman" w:cstheme="minorHAnsi"/>
        </w:rPr>
        <w:t xml:space="preserve">If the person performing the procedure is </w:t>
      </w:r>
      <w:proofErr w:type="gramStart"/>
      <w:r>
        <w:rPr>
          <w:rFonts w:eastAsia="Times New Roman" w:cstheme="minorHAnsi"/>
        </w:rPr>
        <w:t>right handed</w:t>
      </w:r>
      <w:proofErr w:type="gramEnd"/>
      <w:r>
        <w:rPr>
          <w:rFonts w:eastAsia="Times New Roman" w:cstheme="minorHAnsi"/>
        </w:rPr>
        <w:t xml:space="preserve">, </w:t>
      </w:r>
      <w:r w:rsidR="00586684">
        <w:rPr>
          <w:rFonts w:eastAsia="Times New Roman" w:cstheme="minorHAnsi"/>
        </w:rPr>
        <w:t>we suggest administering to the right eye.  The animal should be placed on its left side with the nose pointing to the right.</w:t>
      </w:r>
    </w:p>
    <w:p w14:paraId="2BE69A99" w14:textId="0100130C" w:rsidR="00AB1A38" w:rsidRPr="00AB1A38" w:rsidRDefault="00AB1A38" w:rsidP="00754921">
      <w:pPr>
        <w:pStyle w:val="ListParagraph"/>
        <w:numPr>
          <w:ilvl w:val="0"/>
          <w:numId w:val="2"/>
        </w:numPr>
        <w:rPr>
          <w:rFonts w:cstheme="minorHAnsi"/>
        </w:rPr>
      </w:pPr>
      <w:r>
        <w:rPr>
          <w:rFonts w:eastAsia="Times New Roman" w:cstheme="minorHAnsi"/>
        </w:rPr>
        <w:t xml:space="preserve">To </w:t>
      </w:r>
      <w:r w:rsidRPr="00985A7C">
        <w:rPr>
          <w:rFonts w:eastAsia="Times New Roman" w:cstheme="minorHAnsi"/>
        </w:rPr>
        <w:t>provide additional</w:t>
      </w:r>
      <w:r>
        <w:rPr>
          <w:rFonts w:eastAsia="Times New Roman" w:cstheme="minorHAnsi"/>
        </w:rPr>
        <w:t xml:space="preserve"> </w:t>
      </w:r>
      <w:r w:rsidRPr="00985A7C">
        <w:rPr>
          <w:rFonts w:eastAsia="Times New Roman" w:cstheme="minorHAnsi"/>
        </w:rPr>
        <w:t>procedural and post-procedural analgesia</w:t>
      </w:r>
      <w:r>
        <w:rPr>
          <w:rFonts w:eastAsia="Times New Roman" w:cstheme="minorHAnsi"/>
        </w:rPr>
        <w:t xml:space="preserve"> </w:t>
      </w:r>
      <w:r w:rsidRPr="00985A7C">
        <w:rPr>
          <w:rFonts w:eastAsia="Times New Roman" w:cstheme="minorHAnsi"/>
        </w:rPr>
        <w:t xml:space="preserve">also place a drop of </w:t>
      </w:r>
      <w:r>
        <w:rPr>
          <w:rFonts w:eastAsia="Times New Roman" w:cstheme="minorHAnsi"/>
        </w:rPr>
        <w:t xml:space="preserve">a topical </w:t>
      </w:r>
      <w:r w:rsidRPr="00985A7C">
        <w:rPr>
          <w:rFonts w:eastAsia="Times New Roman" w:cstheme="minorHAnsi"/>
        </w:rPr>
        <w:t>ophthalmic anesthetic</w:t>
      </w:r>
      <w:r>
        <w:rPr>
          <w:rFonts w:eastAsia="Times New Roman" w:cstheme="minorHAnsi"/>
        </w:rPr>
        <w:t xml:space="preserve"> </w:t>
      </w:r>
      <w:r w:rsidRPr="00985A7C">
        <w:rPr>
          <w:rFonts w:eastAsia="Times New Roman" w:cstheme="minorHAnsi"/>
        </w:rPr>
        <w:t>(0.5% proparacaine hydrochloride ophthalmic solution) on the eye that will receive the injection</w:t>
      </w:r>
      <w:r>
        <w:rPr>
          <w:rFonts w:eastAsia="Times New Roman" w:cstheme="minorHAnsi"/>
        </w:rPr>
        <w:t>.</w:t>
      </w:r>
    </w:p>
    <w:p w14:paraId="07E1A16D" w14:textId="1DEDAD69" w:rsidR="00AB1A38" w:rsidRPr="00AB1A38" w:rsidRDefault="00586684" w:rsidP="00754921">
      <w:pPr>
        <w:pStyle w:val="ListParagraph"/>
        <w:numPr>
          <w:ilvl w:val="0"/>
          <w:numId w:val="2"/>
        </w:numPr>
        <w:rPr>
          <w:rFonts w:cstheme="minorHAnsi"/>
        </w:rPr>
      </w:pPr>
      <w:r>
        <w:rPr>
          <w:rFonts w:eastAsia="Times New Roman" w:cstheme="minorHAnsi"/>
        </w:rPr>
        <w:t>P</w:t>
      </w:r>
      <w:r w:rsidR="00D8756E" w:rsidRPr="00985A7C">
        <w:rPr>
          <w:rFonts w:eastAsia="Times New Roman" w:cstheme="minorHAnsi"/>
        </w:rPr>
        <w:t>artially protrude the mouse’s right eyeball from the</w:t>
      </w:r>
      <w:r>
        <w:rPr>
          <w:rFonts w:eastAsia="Times New Roman" w:cstheme="minorHAnsi"/>
        </w:rPr>
        <w:t xml:space="preserve"> </w:t>
      </w:r>
      <w:r w:rsidR="00D8756E" w:rsidRPr="00985A7C">
        <w:rPr>
          <w:rFonts w:eastAsia="Times New Roman" w:cstheme="minorHAnsi"/>
        </w:rPr>
        <w:t>eye socket by applying gentle pressure to the skin dorsal and ventral to the eye.</w:t>
      </w:r>
      <w:r w:rsidR="00AB1A38">
        <w:rPr>
          <w:rFonts w:eastAsia="Times New Roman" w:cstheme="minorHAnsi"/>
        </w:rPr>
        <w:t xml:space="preserve">  </w:t>
      </w:r>
    </w:p>
    <w:p w14:paraId="12D89F20" w14:textId="513E1525" w:rsidR="0093299E" w:rsidRDefault="00D8756E" w:rsidP="00754921">
      <w:pPr>
        <w:pStyle w:val="ListParagraph"/>
        <w:numPr>
          <w:ilvl w:val="0"/>
          <w:numId w:val="2"/>
        </w:numPr>
        <w:rPr>
          <w:rFonts w:eastAsia="Times New Roman" w:cstheme="minorHAnsi"/>
        </w:rPr>
      </w:pPr>
      <w:r w:rsidRPr="00985A7C">
        <w:rPr>
          <w:rFonts w:eastAsia="Times New Roman" w:cstheme="minorHAnsi"/>
        </w:rPr>
        <w:t xml:space="preserve">The needle is carefully introduced, bevel </w:t>
      </w:r>
      <w:proofErr w:type="gramStart"/>
      <w:r w:rsidRPr="00985A7C">
        <w:rPr>
          <w:rFonts w:eastAsia="Times New Roman" w:cstheme="minorHAnsi"/>
        </w:rPr>
        <w:t>down</w:t>
      </w:r>
      <w:r w:rsidR="00E011B1">
        <w:rPr>
          <w:rFonts w:eastAsia="Times New Roman" w:cstheme="minorHAnsi"/>
        </w:rPr>
        <w:t>(</w:t>
      </w:r>
      <w:proofErr w:type="gramEnd"/>
      <w:r w:rsidR="00E011B1">
        <w:rPr>
          <w:rFonts w:eastAsia="Times New Roman" w:cstheme="minorHAnsi"/>
        </w:rPr>
        <w:t>away from the eye)</w:t>
      </w:r>
      <w:r w:rsidRPr="00985A7C">
        <w:rPr>
          <w:rFonts w:eastAsia="Times New Roman" w:cstheme="minorHAnsi"/>
        </w:rPr>
        <w:t>, at an angle of</w:t>
      </w:r>
      <w:r w:rsidRPr="00985A7C">
        <w:rPr>
          <w:rFonts w:eastAsia="Times New Roman" w:cstheme="minorHAnsi"/>
        </w:rPr>
        <w:br/>
        <w:t>approximately 30°, into the medial canthus</w:t>
      </w:r>
      <w:r w:rsidR="000B399D">
        <w:rPr>
          <w:rFonts w:eastAsia="Times New Roman" w:cstheme="minorHAnsi"/>
        </w:rPr>
        <w:t>(Figure 1)</w:t>
      </w:r>
      <w:r w:rsidRPr="00985A7C">
        <w:rPr>
          <w:rFonts w:eastAsia="Times New Roman" w:cstheme="minorHAnsi"/>
        </w:rPr>
        <w:t xml:space="preserve">. </w:t>
      </w:r>
      <w:r w:rsidR="0093299E">
        <w:rPr>
          <w:rFonts w:eastAsia="Times New Roman" w:cstheme="minorHAnsi"/>
        </w:rPr>
        <w:t>We keep t</w:t>
      </w:r>
      <w:r w:rsidRPr="00D8756E">
        <w:rPr>
          <w:rFonts w:eastAsia="Times New Roman" w:cstheme="minorHAnsi"/>
        </w:rPr>
        <w:t>he needle bevel</w:t>
      </w:r>
      <w:r w:rsidR="00AB1A38">
        <w:rPr>
          <w:rFonts w:eastAsia="Times New Roman" w:cstheme="minorHAnsi"/>
        </w:rPr>
        <w:t xml:space="preserve"> </w:t>
      </w:r>
      <w:r w:rsidRPr="00D8756E">
        <w:rPr>
          <w:rFonts w:eastAsia="Times New Roman" w:cstheme="minorHAnsi"/>
        </w:rPr>
        <w:t>fac</w:t>
      </w:r>
      <w:r w:rsidR="0093299E">
        <w:rPr>
          <w:rFonts w:eastAsia="Times New Roman" w:cstheme="minorHAnsi"/>
        </w:rPr>
        <w:t>ing</w:t>
      </w:r>
      <w:r w:rsidRPr="00D8756E">
        <w:rPr>
          <w:rFonts w:eastAsia="Times New Roman" w:cstheme="minorHAnsi"/>
        </w:rPr>
        <w:t xml:space="preserve"> down </w:t>
      </w:r>
      <w:r w:rsidR="0093299E">
        <w:rPr>
          <w:rFonts w:eastAsia="Times New Roman" w:cstheme="minorHAnsi"/>
        </w:rPr>
        <w:t xml:space="preserve">to </w:t>
      </w:r>
      <w:r w:rsidRPr="00D8756E">
        <w:rPr>
          <w:rFonts w:eastAsia="Times New Roman" w:cstheme="minorHAnsi"/>
        </w:rPr>
        <w:t xml:space="preserve">decrease the </w:t>
      </w:r>
      <w:r w:rsidR="0093299E">
        <w:rPr>
          <w:rFonts w:eastAsia="Times New Roman" w:cstheme="minorHAnsi"/>
        </w:rPr>
        <w:t>possibility</w:t>
      </w:r>
      <w:r w:rsidRPr="00D8756E">
        <w:rPr>
          <w:rFonts w:eastAsia="Times New Roman" w:cstheme="minorHAnsi"/>
        </w:rPr>
        <w:t xml:space="preserve"> of damaging the eyeball. The operator uses the needle</w:t>
      </w:r>
      <w:r w:rsidR="0027434C">
        <w:rPr>
          <w:rFonts w:eastAsia="Times New Roman" w:cstheme="minorHAnsi"/>
        </w:rPr>
        <w:t xml:space="preserve"> </w:t>
      </w:r>
      <w:r w:rsidRPr="00D8756E">
        <w:rPr>
          <w:rFonts w:eastAsia="Times New Roman" w:cstheme="minorHAnsi"/>
        </w:rPr>
        <w:t>to follow the edge of the eyeball down until the needle tip is at the base of the eye</w:t>
      </w:r>
      <w:r w:rsidR="00754921">
        <w:rPr>
          <w:rFonts w:eastAsia="Times New Roman" w:cstheme="minorHAnsi"/>
        </w:rPr>
        <w:t xml:space="preserve">.  </w:t>
      </w:r>
      <w:r w:rsidRPr="00D8756E">
        <w:rPr>
          <w:rFonts w:eastAsia="Times New Roman" w:cstheme="minorHAnsi"/>
        </w:rPr>
        <w:t xml:space="preserve">The operator then slowly and smoothly injects the injectate. </w:t>
      </w:r>
      <w:r w:rsidR="0093299E">
        <w:rPr>
          <w:rFonts w:eastAsia="Times New Roman" w:cstheme="minorHAnsi"/>
        </w:rPr>
        <w:t>D</w:t>
      </w:r>
      <w:r w:rsidRPr="00D8756E">
        <w:rPr>
          <w:rFonts w:eastAsia="Times New Roman" w:cstheme="minorHAnsi"/>
        </w:rPr>
        <w:t>o not aspirate before</w:t>
      </w:r>
      <w:r w:rsidR="0093299E">
        <w:rPr>
          <w:rFonts w:eastAsia="Times New Roman" w:cstheme="minorHAnsi"/>
        </w:rPr>
        <w:t xml:space="preserve"> </w:t>
      </w:r>
      <w:r w:rsidRPr="00D8756E">
        <w:rPr>
          <w:rFonts w:eastAsia="Times New Roman" w:cstheme="minorHAnsi"/>
        </w:rPr>
        <w:t>injection.</w:t>
      </w:r>
    </w:p>
    <w:p w14:paraId="3084816B" w14:textId="7D8DE1F9" w:rsidR="00C74C3C" w:rsidRDefault="00D8756E" w:rsidP="00754921">
      <w:pPr>
        <w:pStyle w:val="ListParagraph"/>
        <w:numPr>
          <w:ilvl w:val="0"/>
          <w:numId w:val="2"/>
        </w:numPr>
        <w:rPr>
          <w:rFonts w:eastAsia="Times New Roman" w:cstheme="minorHAnsi"/>
        </w:rPr>
      </w:pPr>
      <w:r w:rsidRPr="00D8756E">
        <w:rPr>
          <w:rFonts w:eastAsia="Times New Roman" w:cstheme="minorHAnsi"/>
        </w:rPr>
        <w:t xml:space="preserve">Once the injection is complete, the needle is slowly and smoothly </w:t>
      </w:r>
      <w:proofErr w:type="gramStart"/>
      <w:r w:rsidRPr="00D8756E">
        <w:rPr>
          <w:rFonts w:eastAsia="Times New Roman" w:cstheme="minorHAnsi"/>
        </w:rPr>
        <w:t>withdrawn</w:t>
      </w:r>
      <w:proofErr w:type="gramEnd"/>
      <w:r w:rsidR="0027434C">
        <w:rPr>
          <w:rFonts w:eastAsia="Times New Roman" w:cstheme="minorHAnsi"/>
        </w:rPr>
        <w:t xml:space="preserve"> and the eye should be closed</w:t>
      </w:r>
      <w:r w:rsidRPr="00D8756E">
        <w:rPr>
          <w:rFonts w:eastAsia="Times New Roman" w:cstheme="minorHAnsi"/>
        </w:rPr>
        <w:t xml:space="preserve">. </w:t>
      </w:r>
      <w:r w:rsidR="0093299E">
        <w:rPr>
          <w:rFonts w:eastAsia="Times New Roman" w:cstheme="minorHAnsi"/>
        </w:rPr>
        <w:t xml:space="preserve"> S</w:t>
      </w:r>
      <w:r w:rsidRPr="00D8756E">
        <w:rPr>
          <w:rFonts w:eastAsia="Times New Roman" w:cstheme="minorHAnsi"/>
        </w:rPr>
        <w:t xml:space="preserve">lowly withdrawing the needle gives </w:t>
      </w:r>
      <w:r w:rsidR="0093299E">
        <w:rPr>
          <w:rFonts w:eastAsia="Times New Roman" w:cstheme="minorHAnsi"/>
        </w:rPr>
        <w:t xml:space="preserve">what was injected </w:t>
      </w:r>
      <w:proofErr w:type="gramStart"/>
      <w:r w:rsidRPr="00D8756E">
        <w:rPr>
          <w:rFonts w:eastAsia="Times New Roman" w:cstheme="minorHAnsi"/>
        </w:rPr>
        <w:t>a brief moment</w:t>
      </w:r>
      <w:proofErr w:type="gramEnd"/>
      <w:r w:rsidRPr="00D8756E">
        <w:rPr>
          <w:rFonts w:eastAsia="Times New Roman" w:cstheme="minorHAnsi"/>
        </w:rPr>
        <w:t xml:space="preserve"> to redistribute</w:t>
      </w:r>
      <w:r w:rsidR="0093299E">
        <w:rPr>
          <w:rFonts w:eastAsia="Times New Roman" w:cstheme="minorHAnsi"/>
        </w:rPr>
        <w:t xml:space="preserve"> </w:t>
      </w:r>
      <w:r w:rsidRPr="00D8756E">
        <w:rPr>
          <w:rFonts w:eastAsia="Times New Roman" w:cstheme="minorHAnsi"/>
        </w:rPr>
        <w:t xml:space="preserve">so that </w:t>
      </w:r>
      <w:r w:rsidR="00C74C3C">
        <w:rPr>
          <w:rFonts w:eastAsia="Times New Roman" w:cstheme="minorHAnsi"/>
        </w:rPr>
        <w:t xml:space="preserve">it </w:t>
      </w:r>
      <w:r w:rsidRPr="00D8756E">
        <w:rPr>
          <w:rFonts w:eastAsia="Times New Roman" w:cstheme="minorHAnsi"/>
        </w:rPr>
        <w:t>does not follow the needle path out. There should be little or no</w:t>
      </w:r>
      <w:r w:rsidR="0027434C">
        <w:rPr>
          <w:rFonts w:eastAsia="Times New Roman" w:cstheme="minorHAnsi"/>
        </w:rPr>
        <w:t xml:space="preserve"> </w:t>
      </w:r>
      <w:r w:rsidRPr="00D8756E">
        <w:rPr>
          <w:rFonts w:eastAsia="Times New Roman" w:cstheme="minorHAnsi"/>
        </w:rPr>
        <w:t>bleeding.</w:t>
      </w:r>
      <w:r w:rsidR="00C74C3C">
        <w:rPr>
          <w:rFonts w:eastAsia="Times New Roman" w:cstheme="minorHAnsi"/>
        </w:rPr>
        <w:t xml:space="preserve"> </w:t>
      </w:r>
    </w:p>
    <w:p w14:paraId="180AC50E" w14:textId="703679CF" w:rsidR="00754921" w:rsidRDefault="00754921" w:rsidP="00754921">
      <w:pPr>
        <w:pStyle w:val="ListParagraph"/>
        <w:numPr>
          <w:ilvl w:val="0"/>
          <w:numId w:val="2"/>
        </w:numPr>
        <w:rPr>
          <w:rFonts w:eastAsia="Times New Roman" w:cstheme="minorHAnsi"/>
        </w:rPr>
      </w:pPr>
      <w:r w:rsidRPr="00D8756E">
        <w:rPr>
          <w:rFonts w:cstheme="minorHAnsi"/>
        </w:rPr>
        <w:t>Examine the injection site for swelling or other visible trauma.</w:t>
      </w:r>
    </w:p>
    <w:p w14:paraId="5C716911" w14:textId="789E4FC1" w:rsidR="00D8756E" w:rsidRPr="000B399D" w:rsidRDefault="00D8756E" w:rsidP="000B399D">
      <w:pPr>
        <w:pStyle w:val="ListParagraph"/>
        <w:numPr>
          <w:ilvl w:val="0"/>
          <w:numId w:val="2"/>
        </w:numPr>
        <w:rPr>
          <w:rFonts w:cstheme="minorHAnsi"/>
        </w:rPr>
      </w:pPr>
      <w:r w:rsidRPr="00D8756E">
        <w:rPr>
          <w:rFonts w:eastAsia="Times New Roman" w:cstheme="minorHAnsi"/>
        </w:rPr>
        <w:t xml:space="preserve">After the injection is complete, the mouse is placed </w:t>
      </w:r>
      <w:r w:rsidR="00754921">
        <w:rPr>
          <w:rFonts w:eastAsia="Times New Roman" w:cstheme="minorHAnsi"/>
        </w:rPr>
        <w:t xml:space="preserve">on top of a paper towel </w:t>
      </w:r>
      <w:r w:rsidRPr="00D8756E">
        <w:rPr>
          <w:rFonts w:eastAsia="Times New Roman" w:cstheme="minorHAnsi"/>
        </w:rPr>
        <w:t>for recovery</w:t>
      </w:r>
      <w:r w:rsidR="00C74C3C" w:rsidRPr="00C74C3C">
        <w:rPr>
          <w:rFonts w:eastAsia="Times New Roman" w:cstheme="minorHAnsi"/>
        </w:rPr>
        <w:t xml:space="preserve"> in a warmed cage</w:t>
      </w:r>
      <w:r w:rsidRPr="00D8756E">
        <w:rPr>
          <w:rFonts w:eastAsia="Times New Roman" w:cstheme="minorHAnsi"/>
        </w:rPr>
        <w:t>.</w:t>
      </w:r>
      <w:r w:rsidR="00C74C3C" w:rsidRPr="00C74C3C">
        <w:rPr>
          <w:rFonts w:eastAsia="Times New Roman" w:cstheme="minorHAnsi"/>
        </w:rPr>
        <w:t xml:space="preserve">  The entire procedure should take approximately a minute.</w:t>
      </w:r>
      <w:r w:rsidRPr="00D8756E">
        <w:rPr>
          <w:rFonts w:eastAsia="Times New Roman" w:cstheme="minorHAnsi"/>
        </w:rPr>
        <w:t xml:space="preserve"> </w:t>
      </w:r>
    </w:p>
    <w:p w14:paraId="0E03FA55" w14:textId="77777777" w:rsidR="000B399D" w:rsidRDefault="000B399D" w:rsidP="000B399D">
      <w:pPr>
        <w:rPr>
          <w:rFonts w:cstheme="minorHAnsi"/>
          <w:b/>
          <w:bCs/>
          <w:sz w:val="20"/>
          <w:szCs w:val="20"/>
          <w:u w:val="single"/>
        </w:rPr>
      </w:pPr>
    </w:p>
    <w:p w14:paraId="42D11441" w14:textId="135B1E97" w:rsidR="000B399D" w:rsidRDefault="000B399D" w:rsidP="000B399D">
      <w:pPr>
        <w:ind w:left="2610"/>
        <w:rPr>
          <w:rFonts w:cstheme="minorHAnsi"/>
          <w:b/>
          <w:bCs/>
          <w:sz w:val="20"/>
          <w:szCs w:val="20"/>
          <w:u w:val="single"/>
        </w:rPr>
      </w:pPr>
      <w:r w:rsidRPr="000B399D">
        <w:rPr>
          <w:rFonts w:cstheme="minorHAnsi"/>
          <w:noProof/>
        </w:rPr>
        <w:drawing>
          <wp:inline distT="0" distB="0" distL="0" distR="0" wp14:anchorId="29B14353" wp14:editId="10709C89">
            <wp:extent cx="2076157" cy="1552903"/>
            <wp:effectExtent l="0" t="0" r="0" b="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8"/>
                    <a:stretch>
                      <a:fillRect/>
                    </a:stretch>
                  </pic:blipFill>
                  <pic:spPr>
                    <a:xfrm>
                      <a:off x="0" y="0"/>
                      <a:ext cx="2121860" cy="1587087"/>
                    </a:xfrm>
                    <a:prstGeom prst="rect">
                      <a:avLst/>
                    </a:prstGeom>
                  </pic:spPr>
                </pic:pic>
              </a:graphicData>
            </a:graphic>
          </wp:inline>
        </w:drawing>
      </w:r>
    </w:p>
    <w:p w14:paraId="0C8CAD17" w14:textId="77777777" w:rsidR="000B399D" w:rsidRDefault="000B399D" w:rsidP="000B399D">
      <w:pPr>
        <w:ind w:left="2610"/>
        <w:rPr>
          <w:rFonts w:cstheme="minorHAnsi"/>
          <w:b/>
          <w:bCs/>
          <w:sz w:val="20"/>
          <w:szCs w:val="20"/>
          <w:u w:val="single"/>
        </w:rPr>
      </w:pPr>
    </w:p>
    <w:p w14:paraId="79031A26" w14:textId="77777777" w:rsidR="000B399D" w:rsidRDefault="000B399D" w:rsidP="000B399D">
      <w:pPr>
        <w:ind w:left="2610"/>
        <w:rPr>
          <w:rFonts w:cstheme="minorHAnsi"/>
          <w:sz w:val="20"/>
          <w:szCs w:val="20"/>
        </w:rPr>
      </w:pPr>
      <w:r w:rsidRPr="000B399D">
        <w:rPr>
          <w:rFonts w:cstheme="minorHAnsi"/>
          <w:b/>
          <w:bCs/>
          <w:sz w:val="20"/>
          <w:szCs w:val="20"/>
          <w:u w:val="single"/>
        </w:rPr>
        <w:t>Figure 1</w:t>
      </w:r>
      <w:r w:rsidRPr="000B399D">
        <w:rPr>
          <w:rFonts w:cstheme="minorHAnsi"/>
          <w:sz w:val="20"/>
          <w:szCs w:val="20"/>
        </w:rPr>
        <w:t xml:space="preserve">: </w:t>
      </w:r>
    </w:p>
    <w:p w14:paraId="60D2475D" w14:textId="3939C9E5" w:rsidR="000B399D" w:rsidRPr="000B399D" w:rsidRDefault="000B399D" w:rsidP="000B399D">
      <w:pPr>
        <w:ind w:left="2610"/>
        <w:rPr>
          <w:rFonts w:cstheme="minorHAnsi"/>
          <w:sz w:val="20"/>
          <w:szCs w:val="20"/>
        </w:rPr>
      </w:pPr>
      <w:r>
        <w:rPr>
          <w:rFonts w:cstheme="minorHAnsi"/>
          <w:sz w:val="20"/>
          <w:szCs w:val="20"/>
        </w:rPr>
        <w:t>Placement of needle for RO injection in a mouse</w:t>
      </w:r>
    </w:p>
    <w:p w14:paraId="2E343905" w14:textId="247C442B" w:rsidR="000B399D" w:rsidRDefault="000B399D" w:rsidP="009337B8">
      <w:pPr>
        <w:ind w:left="450" w:hanging="450"/>
        <w:rPr>
          <w:rFonts w:cstheme="minorHAnsi"/>
        </w:rPr>
      </w:pPr>
    </w:p>
    <w:p w14:paraId="4E4FE6CF" w14:textId="77777777" w:rsidR="000B399D" w:rsidRPr="00D8756E" w:rsidRDefault="000B399D" w:rsidP="009337B8">
      <w:pPr>
        <w:ind w:left="450" w:hanging="450"/>
        <w:rPr>
          <w:rFonts w:cstheme="minorHAnsi"/>
        </w:rPr>
      </w:pPr>
    </w:p>
    <w:p w14:paraId="17BF81B7" w14:textId="3883B749" w:rsidR="00D8756E" w:rsidRPr="00754921" w:rsidRDefault="00754921" w:rsidP="00D8756E">
      <w:pPr>
        <w:rPr>
          <w:rFonts w:cstheme="minorHAnsi"/>
          <w:b/>
          <w:bCs/>
          <w:u w:val="single"/>
        </w:rPr>
      </w:pPr>
      <w:r w:rsidRPr="00754921">
        <w:rPr>
          <w:rFonts w:cstheme="minorHAnsi"/>
          <w:b/>
          <w:bCs/>
          <w:u w:val="single"/>
        </w:rPr>
        <w:t xml:space="preserve">Procedure for </w:t>
      </w:r>
      <w:r w:rsidR="00D8756E" w:rsidRPr="00754921">
        <w:rPr>
          <w:rFonts w:cstheme="minorHAnsi"/>
          <w:b/>
          <w:bCs/>
          <w:u w:val="single"/>
        </w:rPr>
        <w:t>N</w:t>
      </w:r>
      <w:r w:rsidRPr="00754921">
        <w:rPr>
          <w:rFonts w:cstheme="minorHAnsi"/>
          <w:b/>
          <w:bCs/>
          <w:u w:val="single"/>
        </w:rPr>
        <w:t>eonat</w:t>
      </w:r>
      <w:r w:rsidR="00CD1784">
        <w:rPr>
          <w:rFonts w:cstheme="minorHAnsi"/>
          <w:b/>
          <w:bCs/>
          <w:u w:val="single"/>
        </w:rPr>
        <w:t>al</w:t>
      </w:r>
      <w:r w:rsidR="00D8756E" w:rsidRPr="00754921">
        <w:rPr>
          <w:rFonts w:cstheme="minorHAnsi"/>
          <w:b/>
          <w:bCs/>
          <w:u w:val="single"/>
        </w:rPr>
        <w:t xml:space="preserve"> </w:t>
      </w:r>
      <w:r w:rsidRPr="00754921">
        <w:rPr>
          <w:rFonts w:cstheme="minorHAnsi"/>
          <w:b/>
          <w:bCs/>
          <w:u w:val="single"/>
        </w:rPr>
        <w:t xml:space="preserve">Mice </w:t>
      </w:r>
      <w:r w:rsidR="00D8756E" w:rsidRPr="00754921">
        <w:rPr>
          <w:rFonts w:cstheme="minorHAnsi"/>
          <w:b/>
          <w:bCs/>
          <w:u w:val="single"/>
        </w:rPr>
        <w:t xml:space="preserve">(≤ 6 d old): </w:t>
      </w:r>
    </w:p>
    <w:p w14:paraId="06C02D01" w14:textId="77777777" w:rsidR="00754921" w:rsidRPr="00754921" w:rsidRDefault="00754921" w:rsidP="00D8756E">
      <w:pPr>
        <w:rPr>
          <w:rFonts w:cstheme="minorHAnsi"/>
          <w:u w:val="single"/>
        </w:rPr>
      </w:pPr>
    </w:p>
    <w:p w14:paraId="62ACC3D8" w14:textId="3B6BBE2A" w:rsidR="00D8756E" w:rsidRPr="00D8756E" w:rsidRDefault="00D8756E" w:rsidP="00D8756E">
      <w:pPr>
        <w:rPr>
          <w:rFonts w:cstheme="minorHAnsi"/>
        </w:rPr>
      </w:pPr>
      <w:r w:rsidRPr="00D8756E">
        <w:rPr>
          <w:rFonts w:cstheme="minorHAnsi"/>
        </w:rPr>
        <w:t>Pups should be separated from their mothers as they may emit stress vocalizations during the procedure.   Pups are also susceptible to hypothermia and need to be supplied heat once removed from their home cage.  Pups should be contained, on indirect heat, covered with gauze to provide added warmth.</w:t>
      </w:r>
    </w:p>
    <w:p w14:paraId="70C83721" w14:textId="77777777" w:rsidR="00E011B1" w:rsidRPr="00D8756E" w:rsidRDefault="00E011B1" w:rsidP="00D8756E">
      <w:pPr>
        <w:rPr>
          <w:rFonts w:cstheme="minorHAnsi"/>
        </w:rPr>
      </w:pPr>
    </w:p>
    <w:p w14:paraId="18EEE90B" w14:textId="1DB19079" w:rsidR="00D8756E" w:rsidRPr="00E011B1" w:rsidRDefault="00CD1784" w:rsidP="00D8756E">
      <w:pPr>
        <w:rPr>
          <w:rFonts w:cstheme="minorHAnsi"/>
          <w:u w:val="single"/>
        </w:rPr>
      </w:pPr>
      <w:r w:rsidRPr="00E011B1">
        <w:rPr>
          <w:rFonts w:cstheme="minorHAnsi"/>
          <w:u w:val="single"/>
        </w:rPr>
        <w:lastRenderedPageBreak/>
        <w:t>Procedure and Set Up:</w:t>
      </w:r>
    </w:p>
    <w:p w14:paraId="34837DA7" w14:textId="597FC3F5" w:rsidR="000A75D9" w:rsidRPr="00F62044" w:rsidRDefault="000A75D9" w:rsidP="000A75D9">
      <w:pPr>
        <w:pStyle w:val="ListParagraph"/>
        <w:numPr>
          <w:ilvl w:val="0"/>
          <w:numId w:val="5"/>
        </w:numPr>
        <w:rPr>
          <w:rFonts w:cstheme="minorHAnsi"/>
        </w:rPr>
      </w:pPr>
      <w:r w:rsidRPr="00F62044">
        <w:rPr>
          <w:rFonts w:cstheme="minorHAnsi"/>
        </w:rPr>
        <w:t>P</w:t>
      </w:r>
      <w:r w:rsidRPr="00F62044">
        <w:rPr>
          <w:rFonts w:eastAsia="Times New Roman" w:cstheme="minorHAnsi"/>
        </w:rPr>
        <w:t xml:space="preserve">repare the syringes first. </w:t>
      </w:r>
      <w:r>
        <w:rPr>
          <w:rFonts w:eastAsia="Times New Roman" w:cstheme="minorHAnsi"/>
        </w:rPr>
        <w:t xml:space="preserve"> We suggest using </w:t>
      </w:r>
      <w:r w:rsidR="00CD1784">
        <w:rPr>
          <w:rFonts w:eastAsia="Times New Roman" w:cstheme="minorHAnsi"/>
        </w:rPr>
        <w:t xml:space="preserve">a </w:t>
      </w:r>
      <w:proofErr w:type="gramStart"/>
      <w:r w:rsidR="00CD1784">
        <w:rPr>
          <w:rFonts w:eastAsia="Times New Roman" w:cstheme="minorHAnsi"/>
        </w:rPr>
        <w:t>31 gauge</w:t>
      </w:r>
      <w:proofErr w:type="gramEnd"/>
      <w:r w:rsidR="00CD1784">
        <w:rPr>
          <w:rFonts w:eastAsia="Times New Roman" w:cstheme="minorHAnsi"/>
        </w:rPr>
        <w:t xml:space="preserve"> ½” needle</w:t>
      </w:r>
      <w:r w:rsidRPr="00F62044">
        <w:rPr>
          <w:rFonts w:eastAsia="Times New Roman" w:cstheme="minorHAnsi"/>
        </w:rPr>
        <w:t xml:space="preserve"> </w:t>
      </w:r>
    </w:p>
    <w:p w14:paraId="636854A1" w14:textId="5D281636" w:rsidR="000A75D9" w:rsidRPr="000A75D9" w:rsidRDefault="000A75D9" w:rsidP="000A75D9">
      <w:pPr>
        <w:pStyle w:val="ListParagraph"/>
        <w:numPr>
          <w:ilvl w:val="0"/>
          <w:numId w:val="5"/>
        </w:numPr>
        <w:rPr>
          <w:rFonts w:cstheme="minorHAnsi"/>
        </w:rPr>
      </w:pPr>
      <w:r>
        <w:rPr>
          <w:rFonts w:eastAsia="Times New Roman" w:cstheme="minorHAnsi"/>
        </w:rPr>
        <w:t>I</w:t>
      </w:r>
      <w:r w:rsidRPr="00F62044">
        <w:rPr>
          <w:rFonts w:eastAsia="Times New Roman" w:cstheme="minorHAnsi"/>
        </w:rPr>
        <w:t>nject</w:t>
      </w:r>
      <w:r>
        <w:rPr>
          <w:rFonts w:eastAsia="Times New Roman" w:cstheme="minorHAnsi"/>
        </w:rPr>
        <w:t>ion</w:t>
      </w:r>
      <w:r w:rsidRPr="00F62044">
        <w:rPr>
          <w:rFonts w:eastAsia="Times New Roman" w:cstheme="minorHAnsi"/>
        </w:rPr>
        <w:t xml:space="preserve"> volumes </w:t>
      </w:r>
      <w:r>
        <w:rPr>
          <w:rFonts w:eastAsia="Times New Roman" w:cstheme="minorHAnsi"/>
        </w:rPr>
        <w:t>cannot</w:t>
      </w:r>
      <w:r w:rsidRPr="00F62044">
        <w:rPr>
          <w:rFonts w:eastAsia="Times New Roman" w:cstheme="minorHAnsi"/>
        </w:rPr>
        <w:t xml:space="preserve"> exceed 50 </w:t>
      </w:r>
      <w:proofErr w:type="spellStart"/>
      <w:r w:rsidRPr="00F62044">
        <w:rPr>
          <w:rFonts w:eastAsia="Times New Roman" w:cstheme="minorHAnsi"/>
        </w:rPr>
        <w:t>μl</w:t>
      </w:r>
      <w:proofErr w:type="spellEnd"/>
      <w:r w:rsidRPr="00F62044">
        <w:rPr>
          <w:rFonts w:eastAsia="Times New Roman" w:cstheme="minorHAnsi"/>
        </w:rPr>
        <w:t>.</w:t>
      </w:r>
    </w:p>
    <w:p w14:paraId="2824D92E" w14:textId="5E7902AB" w:rsidR="00754921" w:rsidRDefault="00754921" w:rsidP="000A75D9">
      <w:pPr>
        <w:pStyle w:val="ListParagraph"/>
        <w:numPr>
          <w:ilvl w:val="0"/>
          <w:numId w:val="5"/>
        </w:numPr>
        <w:rPr>
          <w:rFonts w:cstheme="minorHAnsi"/>
        </w:rPr>
      </w:pPr>
      <w:r>
        <w:rPr>
          <w:rFonts w:cstheme="minorHAnsi"/>
        </w:rPr>
        <w:t xml:space="preserve">Anesthetize the mouse as described in the </w:t>
      </w:r>
      <w:proofErr w:type="gramStart"/>
      <w:r>
        <w:rPr>
          <w:rFonts w:cstheme="minorHAnsi"/>
        </w:rPr>
        <w:t>protocol(</w:t>
      </w:r>
      <w:proofErr w:type="gramEnd"/>
      <w:r>
        <w:rPr>
          <w:rFonts w:cstheme="minorHAnsi"/>
        </w:rPr>
        <w:t>if necessary)</w:t>
      </w:r>
    </w:p>
    <w:p w14:paraId="223809E2" w14:textId="7D2E9C9D" w:rsidR="00D8756E" w:rsidRPr="00754921" w:rsidRDefault="00D8756E" w:rsidP="000A75D9">
      <w:pPr>
        <w:pStyle w:val="ListParagraph"/>
        <w:numPr>
          <w:ilvl w:val="0"/>
          <w:numId w:val="5"/>
        </w:numPr>
        <w:rPr>
          <w:rFonts w:cstheme="minorHAnsi"/>
        </w:rPr>
      </w:pPr>
      <w:r w:rsidRPr="00754921">
        <w:rPr>
          <w:rFonts w:cstheme="minorHAnsi"/>
        </w:rPr>
        <w:t>Remove the mouse from the holding cage and position the mouse on its side. Gently restrain it with the thumb and forefinger of the non-dominant hand.</w:t>
      </w:r>
    </w:p>
    <w:p w14:paraId="5ADFDEF8" w14:textId="4D0777F0" w:rsidR="00D8756E" w:rsidRPr="00754921" w:rsidRDefault="00D8756E" w:rsidP="000A75D9">
      <w:pPr>
        <w:pStyle w:val="ListParagraph"/>
        <w:numPr>
          <w:ilvl w:val="0"/>
          <w:numId w:val="5"/>
        </w:numPr>
        <w:rPr>
          <w:rFonts w:cstheme="minorHAnsi"/>
        </w:rPr>
      </w:pPr>
      <w:r w:rsidRPr="00754921">
        <w:rPr>
          <w:rFonts w:cstheme="minorHAnsi"/>
        </w:rPr>
        <w:t>Insert approximately 1/</w:t>
      </w:r>
      <w:r w:rsidR="005D4E38">
        <w:rPr>
          <w:rFonts w:cstheme="minorHAnsi"/>
        </w:rPr>
        <w:t>4</w:t>
      </w:r>
      <w:r w:rsidRPr="00754921">
        <w:rPr>
          <w:rFonts w:cstheme="minorHAnsi"/>
        </w:rPr>
        <w:t xml:space="preserve"> of the needle length, bevel down, at a 45° angle in the area that will become the medial canthus (3 o’clock position into the eye socket). The needle will be positioned behind the globe of the eye in the retro-bulbar sinus. A sharp cutting needle is preferred as it results in reduced tissue distortion and damage.</w:t>
      </w:r>
    </w:p>
    <w:p w14:paraId="5979AEF4" w14:textId="0C8E1B02" w:rsidR="00D8756E" w:rsidRPr="00754921" w:rsidRDefault="00D8756E" w:rsidP="000A75D9">
      <w:pPr>
        <w:pStyle w:val="ListParagraph"/>
        <w:numPr>
          <w:ilvl w:val="0"/>
          <w:numId w:val="5"/>
        </w:numPr>
        <w:rPr>
          <w:rFonts w:cstheme="minorHAnsi"/>
        </w:rPr>
      </w:pPr>
      <w:r w:rsidRPr="00754921">
        <w:rPr>
          <w:rFonts w:cstheme="minorHAnsi"/>
        </w:rPr>
        <w:t>Inject into the retro-bulbar sinus.</w:t>
      </w:r>
    </w:p>
    <w:p w14:paraId="2C399ED5" w14:textId="01F81590" w:rsidR="00D8756E" w:rsidRPr="00754921" w:rsidRDefault="00D8756E" w:rsidP="000A75D9">
      <w:pPr>
        <w:pStyle w:val="ListParagraph"/>
        <w:numPr>
          <w:ilvl w:val="0"/>
          <w:numId w:val="5"/>
        </w:numPr>
        <w:rPr>
          <w:rFonts w:cstheme="minorHAnsi"/>
        </w:rPr>
      </w:pPr>
      <w:r w:rsidRPr="00754921">
        <w:rPr>
          <w:rFonts w:cstheme="minorHAnsi"/>
        </w:rPr>
        <w:t>Remove needle gently to avoid injury to the eye.</w:t>
      </w:r>
    </w:p>
    <w:p w14:paraId="5C11460B" w14:textId="2C414F69" w:rsidR="00D8756E" w:rsidRPr="00754921" w:rsidRDefault="00D8756E" w:rsidP="000A75D9">
      <w:pPr>
        <w:pStyle w:val="ListParagraph"/>
        <w:numPr>
          <w:ilvl w:val="0"/>
          <w:numId w:val="5"/>
        </w:numPr>
        <w:rPr>
          <w:rFonts w:cstheme="minorHAnsi"/>
        </w:rPr>
      </w:pPr>
      <w:r w:rsidRPr="00754921">
        <w:rPr>
          <w:rFonts w:cstheme="minorHAnsi"/>
        </w:rPr>
        <w:t>Apply mild pressure to the injection site with a gauze sponge.</w:t>
      </w:r>
    </w:p>
    <w:p w14:paraId="05CC50AC" w14:textId="0A3F8E03" w:rsidR="00F02D7E" w:rsidRDefault="00F02D7E" w:rsidP="00D8756E">
      <w:pPr>
        <w:rPr>
          <w:rFonts w:cstheme="minorHAnsi"/>
        </w:rPr>
      </w:pPr>
    </w:p>
    <w:p w14:paraId="4337C40D" w14:textId="5BF99C22" w:rsidR="00F02D7E" w:rsidRDefault="00F02D7E" w:rsidP="00D8756E">
      <w:pPr>
        <w:rPr>
          <w:sz w:val="20"/>
          <w:szCs w:val="20"/>
        </w:rPr>
      </w:pPr>
      <w:r>
        <w:rPr>
          <w:b/>
          <w:bCs/>
          <w:sz w:val="20"/>
          <w:szCs w:val="20"/>
        </w:rPr>
        <w:t xml:space="preserve">References: </w:t>
      </w:r>
      <w:hyperlink r:id="rId9" w:history="1">
        <w:proofErr w:type="spellStart"/>
        <w:r w:rsidRPr="00F02D7E">
          <w:rPr>
            <w:rStyle w:val="Hyperlink"/>
            <w:sz w:val="20"/>
            <w:szCs w:val="20"/>
          </w:rPr>
          <w:t>Yardeni</w:t>
        </w:r>
        <w:proofErr w:type="spellEnd"/>
        <w:r w:rsidRPr="00F02D7E">
          <w:rPr>
            <w:rStyle w:val="Hyperlink"/>
            <w:sz w:val="20"/>
            <w:szCs w:val="20"/>
          </w:rPr>
          <w:t xml:space="preserve"> T, Eckhaus M, Morris D, </w:t>
        </w:r>
        <w:proofErr w:type="spellStart"/>
        <w:r w:rsidRPr="00F02D7E">
          <w:rPr>
            <w:rStyle w:val="Hyperlink"/>
            <w:sz w:val="20"/>
            <w:szCs w:val="20"/>
          </w:rPr>
          <w:t>Huizing</w:t>
        </w:r>
        <w:proofErr w:type="spellEnd"/>
        <w:r w:rsidRPr="00F02D7E">
          <w:rPr>
            <w:rStyle w:val="Hyperlink"/>
            <w:sz w:val="20"/>
            <w:szCs w:val="20"/>
          </w:rPr>
          <w:t xml:space="preserve"> M, Hoogstraten-Miller S. Retro-orbital injection in mice. </w:t>
        </w:r>
        <w:r w:rsidRPr="00F02D7E">
          <w:rPr>
            <w:rStyle w:val="Hyperlink"/>
            <w:i/>
            <w:iCs/>
            <w:sz w:val="20"/>
            <w:szCs w:val="20"/>
          </w:rPr>
          <w:t xml:space="preserve">Lab Anim (NY) </w:t>
        </w:r>
        <w:r w:rsidRPr="00F02D7E">
          <w:rPr>
            <w:rStyle w:val="Hyperlink"/>
            <w:sz w:val="20"/>
            <w:szCs w:val="20"/>
          </w:rPr>
          <w:t>2011 May; 155-16.</w:t>
        </w:r>
      </w:hyperlink>
      <w:r w:rsidR="00544658">
        <w:rPr>
          <w:rStyle w:val="Hyperlink"/>
          <w:sz w:val="20"/>
          <w:szCs w:val="20"/>
        </w:rPr>
        <w:t>-</w:t>
      </w:r>
    </w:p>
    <w:p w14:paraId="093C72B2" w14:textId="10584634" w:rsidR="00F02D7E" w:rsidRDefault="00F02D7E" w:rsidP="00D8756E">
      <w:pPr>
        <w:rPr>
          <w:rFonts w:cstheme="minorHAnsi"/>
        </w:rPr>
      </w:pPr>
    </w:p>
    <w:p w14:paraId="4DB6378F" w14:textId="4BF11CBE" w:rsidR="00F02D7E" w:rsidRPr="00E011B1" w:rsidRDefault="00F02D7E" w:rsidP="00D8756E">
      <w:pPr>
        <w:rPr>
          <w:rFonts w:cstheme="minorHAnsi"/>
          <w:b/>
          <w:bCs/>
        </w:rPr>
      </w:pPr>
    </w:p>
    <w:sectPr w:rsidR="00F02D7E" w:rsidRPr="00E011B1" w:rsidSect="00CB5FAE">
      <w:pgSz w:w="12240" w:h="15840"/>
      <w:pgMar w:top="11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808FD"/>
    <w:multiLevelType w:val="hybridMultilevel"/>
    <w:tmpl w:val="6EA2AE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0C703F"/>
    <w:multiLevelType w:val="hybridMultilevel"/>
    <w:tmpl w:val="F668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A0A01"/>
    <w:multiLevelType w:val="hybridMultilevel"/>
    <w:tmpl w:val="E24C06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720661"/>
    <w:multiLevelType w:val="hybridMultilevel"/>
    <w:tmpl w:val="2FE4A240"/>
    <w:lvl w:ilvl="0" w:tplc="0F209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A17B9"/>
    <w:multiLevelType w:val="hybridMultilevel"/>
    <w:tmpl w:val="72D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352207">
    <w:abstractNumId w:val="1"/>
  </w:num>
  <w:num w:numId="2" w16cid:durableId="219830360">
    <w:abstractNumId w:val="2"/>
  </w:num>
  <w:num w:numId="3" w16cid:durableId="621033652">
    <w:abstractNumId w:val="4"/>
  </w:num>
  <w:num w:numId="4" w16cid:durableId="563445601">
    <w:abstractNumId w:val="3"/>
  </w:num>
  <w:num w:numId="5" w16cid:durableId="71959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6E"/>
    <w:rsid w:val="00053E3C"/>
    <w:rsid w:val="00072A20"/>
    <w:rsid w:val="000771CA"/>
    <w:rsid w:val="000A75D9"/>
    <w:rsid w:val="000B399D"/>
    <w:rsid w:val="00102588"/>
    <w:rsid w:val="002549D6"/>
    <w:rsid w:val="0027434C"/>
    <w:rsid w:val="002E6D07"/>
    <w:rsid w:val="002E795D"/>
    <w:rsid w:val="004D1AB3"/>
    <w:rsid w:val="004D2359"/>
    <w:rsid w:val="00544658"/>
    <w:rsid w:val="00586684"/>
    <w:rsid w:val="005D4E38"/>
    <w:rsid w:val="00603401"/>
    <w:rsid w:val="00704499"/>
    <w:rsid w:val="00754921"/>
    <w:rsid w:val="00785B32"/>
    <w:rsid w:val="00786612"/>
    <w:rsid w:val="0093299E"/>
    <w:rsid w:val="009337B8"/>
    <w:rsid w:val="0093638F"/>
    <w:rsid w:val="00985A7C"/>
    <w:rsid w:val="00A36FB9"/>
    <w:rsid w:val="00A63BB3"/>
    <w:rsid w:val="00A801FE"/>
    <w:rsid w:val="00AB1A38"/>
    <w:rsid w:val="00C17D61"/>
    <w:rsid w:val="00C74C3C"/>
    <w:rsid w:val="00CB5FAE"/>
    <w:rsid w:val="00CD1784"/>
    <w:rsid w:val="00D70CC2"/>
    <w:rsid w:val="00D8756E"/>
    <w:rsid w:val="00E011B1"/>
    <w:rsid w:val="00E96FFF"/>
    <w:rsid w:val="00EF0409"/>
    <w:rsid w:val="00F02D7E"/>
    <w:rsid w:val="00F15AE9"/>
    <w:rsid w:val="00F62044"/>
    <w:rsid w:val="00FB0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613F"/>
  <w15:chartTrackingRefBased/>
  <w15:docId w15:val="{C4F370E6-3EF7-B941-A8A4-2EC826A5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3401"/>
    <w:pPr>
      <w:keepNext/>
      <w:ind w:left="180"/>
      <w:jc w:val="center"/>
      <w:outlineLvl w:val="0"/>
    </w:pPr>
    <w:rPr>
      <w:rFonts w:ascii="New York" w:eastAsia="Times New Roman" w:hAnsi="New York" w:cs="Times New Roman"/>
      <w:b/>
      <w:szCs w:val="20"/>
    </w:rPr>
  </w:style>
  <w:style w:type="paragraph" w:styleId="Heading3">
    <w:name w:val="heading 3"/>
    <w:basedOn w:val="Normal"/>
    <w:next w:val="Normal"/>
    <w:link w:val="Heading3Char"/>
    <w:uiPriority w:val="9"/>
    <w:semiHidden/>
    <w:unhideWhenUsed/>
    <w:qFormat/>
    <w:rsid w:val="000771CA"/>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9"/>
    <w:qFormat/>
    <w:rsid w:val="00603401"/>
    <w:pPr>
      <w:keepNext/>
      <w:outlineLvl w:val="8"/>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D7E"/>
    <w:rPr>
      <w:color w:val="0563C1" w:themeColor="hyperlink"/>
      <w:u w:val="single"/>
    </w:rPr>
  </w:style>
  <w:style w:type="character" w:styleId="UnresolvedMention">
    <w:name w:val="Unresolved Mention"/>
    <w:basedOn w:val="DefaultParagraphFont"/>
    <w:uiPriority w:val="99"/>
    <w:semiHidden/>
    <w:unhideWhenUsed/>
    <w:rsid w:val="00F02D7E"/>
    <w:rPr>
      <w:color w:val="605E5C"/>
      <w:shd w:val="clear" w:color="auto" w:fill="E1DFDD"/>
    </w:rPr>
  </w:style>
  <w:style w:type="paragraph" w:styleId="ListParagraph">
    <w:name w:val="List Paragraph"/>
    <w:basedOn w:val="Normal"/>
    <w:uiPriority w:val="34"/>
    <w:qFormat/>
    <w:rsid w:val="00F62044"/>
    <w:pPr>
      <w:ind w:left="720"/>
      <w:contextualSpacing/>
    </w:pPr>
  </w:style>
  <w:style w:type="character" w:customStyle="1" w:styleId="Heading1Char">
    <w:name w:val="Heading 1 Char"/>
    <w:basedOn w:val="DefaultParagraphFont"/>
    <w:link w:val="Heading1"/>
    <w:rsid w:val="00603401"/>
    <w:rPr>
      <w:rFonts w:ascii="New York" w:eastAsia="Times New Roman" w:hAnsi="New York" w:cs="Times New Roman"/>
      <w:b/>
      <w:szCs w:val="20"/>
    </w:rPr>
  </w:style>
  <w:style w:type="character" w:customStyle="1" w:styleId="Heading9Char">
    <w:name w:val="Heading 9 Char"/>
    <w:basedOn w:val="DefaultParagraphFont"/>
    <w:link w:val="Heading9"/>
    <w:uiPriority w:val="99"/>
    <w:rsid w:val="00603401"/>
    <w:rPr>
      <w:rFonts w:ascii="Times New Roman" w:eastAsia="Times New Roman" w:hAnsi="Times New Roman" w:cs="Times New Roman"/>
      <w:sz w:val="28"/>
    </w:rPr>
  </w:style>
  <w:style w:type="paragraph" w:styleId="Footer">
    <w:name w:val="footer"/>
    <w:basedOn w:val="Normal"/>
    <w:link w:val="FooterChar"/>
    <w:rsid w:val="00603401"/>
    <w:pPr>
      <w:tabs>
        <w:tab w:val="center" w:pos="4320"/>
        <w:tab w:val="right" w:pos="8640"/>
      </w:tabs>
    </w:pPr>
    <w:rPr>
      <w:rFonts w:ascii="New York" w:eastAsia="Times New Roman" w:hAnsi="New York" w:cs="Times New Roman"/>
      <w:szCs w:val="20"/>
    </w:rPr>
  </w:style>
  <w:style w:type="character" w:customStyle="1" w:styleId="FooterChar">
    <w:name w:val="Footer Char"/>
    <w:basedOn w:val="DefaultParagraphFont"/>
    <w:link w:val="Footer"/>
    <w:rsid w:val="00603401"/>
    <w:rPr>
      <w:rFonts w:ascii="New York" w:eastAsia="Times New Roman" w:hAnsi="New York" w:cs="Times New Roman"/>
      <w:szCs w:val="20"/>
    </w:rPr>
  </w:style>
  <w:style w:type="character" w:customStyle="1" w:styleId="Heading3Char">
    <w:name w:val="Heading 3 Char"/>
    <w:basedOn w:val="DefaultParagraphFont"/>
    <w:link w:val="Heading3"/>
    <w:uiPriority w:val="9"/>
    <w:semiHidden/>
    <w:rsid w:val="000771CA"/>
    <w:rPr>
      <w:rFonts w:asciiTheme="majorHAnsi" w:eastAsiaTheme="majorEastAsia" w:hAnsiTheme="majorHAnsi" w:cstheme="majorBidi"/>
      <w:color w:val="1F3763" w:themeColor="accent1" w:themeShade="7F"/>
    </w:rPr>
  </w:style>
  <w:style w:type="paragraph" w:styleId="NoSpacing">
    <w:name w:val="No Spacing"/>
    <w:uiPriority w:val="99"/>
    <w:qFormat/>
    <w:rsid w:val="000771C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0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3158461/pdf/nihms3170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5D620-3BED-4FFB-9028-1884BDB5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9549-2a54-43b5-a1f1-cc0237e52f86"/>
    <ds:schemaRef ds:uri="715013b0-5c8f-4e04-8d45-a7653fd0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073AE-5412-48DE-BCC3-DECA5FEBC6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583FC2-AE48-43EA-9336-7B6075B9E27A}">
  <ds:schemaRefs>
    <ds:schemaRef ds:uri="http://schemas.microsoft.com/sharepoint/v3/contenttype/forms"/>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Sean</dc:creator>
  <cp:keywords/>
  <dc:description/>
  <cp:lastModifiedBy>Sullivan, Sean</cp:lastModifiedBy>
  <cp:revision>10</cp:revision>
  <dcterms:created xsi:type="dcterms:W3CDTF">2024-08-14T13:02:00Z</dcterms:created>
  <dcterms:modified xsi:type="dcterms:W3CDTF">2025-03-12T16:28:00Z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