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6B963" w14:textId="77777777" w:rsidR="00BB64A0" w:rsidRPr="00A90249" w:rsidRDefault="00BB64A0" w:rsidP="00BB64A0">
      <w:pPr>
        <w:spacing w:line="240" w:lineRule="auto"/>
        <w:rPr>
          <w:rFonts w:ascii="Aptos" w:hAnsi="Aptos"/>
          <w:color w:val="000000" w:themeColor="text1"/>
          <w:szCs w:val="20"/>
          <w14:shadow w14:blurRad="50800" w14:dist="38100" w14:dir="2700000" w14:sx="100000" w14:sy="100000" w14:kx="0" w14:ky="0" w14:algn="tl">
            <w14:srgbClr w14:val="000000">
              <w14:alpha w14:val="60000"/>
            </w14:srgbClr>
          </w14:shadow>
        </w:rPr>
      </w:pPr>
      <w:r w:rsidRPr="00A90249">
        <w:rPr>
          <w:rFonts w:ascii="Aptos" w:hAnsi="Aptos"/>
          <w:color w:val="000000" w:themeColor="text1"/>
          <w:sz w:val="154"/>
          <w14:shadow w14:blurRad="50800" w14:dist="38100" w14:dir="2700000" w14:sx="100000" w14:sy="100000" w14:kx="0" w14:ky="0" w14:algn="tl">
            <w14:srgbClr w14:val="000000">
              <w14:alpha w14:val="60000"/>
            </w14:srgbClr>
          </w14:shadow>
        </w:rPr>
        <w:t>NU</w:t>
      </w:r>
      <w:r w:rsidRPr="00BB64A0">
        <w:rPr>
          <w:rFonts w:ascii="Aptos" w:hAnsi="Aptos"/>
          <w:outline/>
          <w:color w:val="000000"/>
          <w:sz w:val="84"/>
          <w14:textOutline w14:w="9525" w14:cap="flat" w14:cmpd="sng" w14:algn="ctr">
            <w14:solidFill>
              <w14:srgbClr w14:val="000000"/>
            </w14:solidFill>
            <w14:prstDash w14:val="solid"/>
            <w14:round/>
          </w14:textOutline>
          <w14:textFill>
            <w14:noFill/>
          </w14:textFill>
        </w:rPr>
        <w:t>–</w:t>
      </w:r>
      <w:r w:rsidRPr="00BB64A0">
        <w:rPr>
          <w:rFonts w:ascii="Aptos" w:hAnsi="Aptos"/>
          <w:outline/>
          <w:color w:val="000000"/>
          <w:sz w:val="60"/>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IACUC POLICY</w:t>
      </w:r>
    </w:p>
    <w:p w14:paraId="5B85D2E0" w14:textId="61ECCB35" w:rsidR="00BB64A0" w:rsidRPr="00BB64A0" w:rsidRDefault="00BB64A0" w:rsidP="00BB64A0">
      <w:pPr>
        <w:pStyle w:val="Heading9"/>
        <w:rPr>
          <w:rFonts w:ascii="Aptos" w:hAnsi="Aptos"/>
          <w:color w:val="000000" w:themeColor="text1"/>
          <w:sz w:val="16"/>
          <w:u w:val="single"/>
        </w:rPr>
      </w:pPr>
      <w:r w:rsidRPr="00A90249">
        <w:rPr>
          <w:rFonts w:ascii="Aptos" w:hAnsi="Aptos"/>
          <w:color w:val="000000" w:themeColor="text1"/>
        </w:rPr>
        <w:t>Northeastern University Institutional Animal Care and Use Committee</w:t>
      </w:r>
    </w:p>
    <w:p w14:paraId="342F3951" w14:textId="77777777" w:rsidR="00BB64A0" w:rsidRPr="002678D8" w:rsidRDefault="00BB64A0" w:rsidP="005A3015">
      <w:pPr>
        <w:pStyle w:val="Footer"/>
        <w:tabs>
          <w:tab w:val="left" w:pos="720"/>
        </w:tabs>
        <w:rPr>
          <w:rFonts w:ascii="Times New Roman" w:hAnsi="Times New Roman"/>
        </w:rPr>
      </w:pPr>
    </w:p>
    <w:tbl>
      <w:tblPr>
        <w:tblW w:w="0" w:type="auto"/>
        <w:tblBorders>
          <w:top w:val="threeDEmboss" w:sz="24" w:space="0" w:color="auto"/>
          <w:left w:val="threeDEmboss" w:sz="24" w:space="0" w:color="auto"/>
          <w:bottom w:val="threeDEmboss" w:sz="24" w:space="0" w:color="auto"/>
          <w:right w:val="threeDEmboss" w:sz="24" w:space="0" w:color="auto"/>
        </w:tblBorders>
        <w:tblLook w:val="0000" w:firstRow="0" w:lastRow="0" w:firstColumn="0" w:lastColumn="0" w:noHBand="0" w:noVBand="0"/>
      </w:tblPr>
      <w:tblGrid>
        <w:gridCol w:w="8856"/>
      </w:tblGrid>
      <w:tr w:rsidR="005A3015" w:rsidRPr="002678D8" w14:paraId="02765128" w14:textId="77777777" w:rsidTr="005A3015">
        <w:trPr>
          <w:trHeight w:val="1140"/>
        </w:trPr>
        <w:tc>
          <w:tcPr>
            <w:tcW w:w="8856" w:type="dxa"/>
            <w:tcBorders>
              <w:top w:val="threeDEmboss" w:sz="24" w:space="0" w:color="auto"/>
              <w:left w:val="threeDEmboss" w:sz="24" w:space="0" w:color="auto"/>
              <w:bottom w:val="threeDEmboss" w:sz="24" w:space="0" w:color="auto"/>
              <w:right w:val="threeDEmboss" w:sz="24" w:space="0" w:color="auto"/>
            </w:tcBorders>
          </w:tcPr>
          <w:p w14:paraId="6330C44D" w14:textId="77777777" w:rsidR="005A3015" w:rsidRPr="002678D8" w:rsidRDefault="005A3015" w:rsidP="005A3015">
            <w:pPr>
              <w:pStyle w:val="Heading1"/>
              <w:ind w:left="0"/>
              <w:rPr>
                <w:rFonts w:ascii="Times New Roman" w:eastAsiaTheme="minorHAnsi" w:hAnsi="Times New Roman"/>
                <w:b w:val="0"/>
                <w:sz w:val="36"/>
              </w:rPr>
            </w:pPr>
          </w:p>
          <w:p w14:paraId="2C1D1BC7" w14:textId="77777777" w:rsidR="00BB64A0" w:rsidRDefault="0002200B" w:rsidP="005A3015">
            <w:pPr>
              <w:pStyle w:val="Heading1"/>
              <w:ind w:left="0"/>
              <w:rPr>
                <w:rFonts w:ascii="Times New Roman" w:hAnsi="Times New Roman"/>
                <w:b w:val="0"/>
                <w:sz w:val="28"/>
              </w:rPr>
            </w:pPr>
            <w:r w:rsidRPr="002678D8">
              <w:rPr>
                <w:rFonts w:ascii="Times New Roman" w:hAnsi="Times New Roman"/>
                <w:b w:val="0"/>
                <w:sz w:val="28"/>
              </w:rPr>
              <w:t xml:space="preserve">Tumor Implantation, </w:t>
            </w:r>
            <w:r w:rsidR="005A3015" w:rsidRPr="002678D8">
              <w:rPr>
                <w:rFonts w:ascii="Times New Roman" w:hAnsi="Times New Roman"/>
                <w:b w:val="0"/>
                <w:sz w:val="28"/>
              </w:rPr>
              <w:t>Use</w:t>
            </w:r>
            <w:r w:rsidRPr="002678D8">
              <w:rPr>
                <w:rFonts w:ascii="Times New Roman" w:hAnsi="Times New Roman"/>
                <w:b w:val="0"/>
                <w:sz w:val="28"/>
              </w:rPr>
              <w:t>, and Clin</w:t>
            </w:r>
            <w:r w:rsidR="00D43124">
              <w:rPr>
                <w:rFonts w:ascii="Times New Roman" w:hAnsi="Times New Roman"/>
                <w:b w:val="0"/>
                <w:sz w:val="28"/>
              </w:rPr>
              <w:t>i</w:t>
            </w:r>
            <w:r w:rsidRPr="002678D8">
              <w:rPr>
                <w:rFonts w:ascii="Times New Roman" w:hAnsi="Times New Roman"/>
                <w:b w:val="0"/>
                <w:sz w:val="28"/>
              </w:rPr>
              <w:t>cal Endpoints</w:t>
            </w:r>
            <w:r w:rsidR="00BB64A0">
              <w:rPr>
                <w:rFonts w:ascii="Times New Roman" w:hAnsi="Times New Roman"/>
                <w:b w:val="0"/>
                <w:sz w:val="28"/>
              </w:rPr>
              <w:t xml:space="preserve"> and </w:t>
            </w:r>
          </w:p>
          <w:p w14:paraId="364EA756" w14:textId="3C4487DE" w:rsidR="005A3015" w:rsidRPr="002678D8" w:rsidRDefault="00BB64A0" w:rsidP="005A3015">
            <w:pPr>
              <w:pStyle w:val="Heading1"/>
              <w:ind w:left="0"/>
              <w:rPr>
                <w:rFonts w:ascii="Times New Roman" w:eastAsia="Arial Unicode MS" w:hAnsi="Times New Roman"/>
                <w:b w:val="0"/>
                <w:sz w:val="28"/>
              </w:rPr>
            </w:pPr>
            <w:r>
              <w:rPr>
                <w:rFonts w:ascii="Times New Roman" w:hAnsi="Times New Roman"/>
                <w:b w:val="0"/>
                <w:sz w:val="28"/>
              </w:rPr>
              <w:t>Body Condition Scoring</w:t>
            </w:r>
          </w:p>
        </w:tc>
      </w:tr>
    </w:tbl>
    <w:p w14:paraId="4FBA06A6" w14:textId="77777777" w:rsidR="00EA21DD" w:rsidRPr="002678D8" w:rsidRDefault="00EA21DD" w:rsidP="005A3015">
      <w:pPr>
        <w:pStyle w:val="NoSpacing"/>
        <w:rPr>
          <w:rFonts w:ascii="Times New Roman" w:hAnsi="Times New Roman" w:cs="Times New Roman"/>
          <w:b/>
          <w:sz w:val="14"/>
        </w:rPr>
      </w:pPr>
    </w:p>
    <w:p w14:paraId="79B4B28F" w14:textId="22BB84A5" w:rsidR="002A124C" w:rsidRPr="006E1799" w:rsidRDefault="006E1799" w:rsidP="006E1799">
      <w:pPr>
        <w:tabs>
          <w:tab w:val="left" w:pos="-720"/>
          <w:tab w:val="left" w:pos="0"/>
        </w:tabs>
        <w:spacing w:after="0" w:line="240" w:lineRule="auto"/>
        <w:jc w:val="center"/>
        <w:rPr>
          <w:rFonts w:ascii="Times New Roman" w:hAnsi="Times New Roman" w:cs="Times New Roman"/>
          <w:i/>
          <w:iCs/>
        </w:rPr>
      </w:pPr>
      <w:r w:rsidRPr="006E1799">
        <w:rPr>
          <w:rFonts w:ascii="Times New Roman" w:hAnsi="Times New Roman" w:cs="Times New Roman"/>
          <w:i/>
          <w:iCs/>
        </w:rPr>
        <w:t xml:space="preserve">Approved: </w:t>
      </w:r>
      <w:r w:rsidR="00FB4E06">
        <w:rPr>
          <w:rFonts w:ascii="Times New Roman" w:hAnsi="Times New Roman" w:cs="Times New Roman"/>
          <w:i/>
          <w:iCs/>
        </w:rPr>
        <w:t>01/14/2025</w:t>
      </w:r>
    </w:p>
    <w:p w14:paraId="1D968986" w14:textId="77777777" w:rsidR="002D3353" w:rsidRPr="002678D8" w:rsidRDefault="002D3353" w:rsidP="002A124C">
      <w:pPr>
        <w:tabs>
          <w:tab w:val="left" w:pos="-720"/>
          <w:tab w:val="left" w:pos="0"/>
        </w:tabs>
        <w:spacing w:after="0" w:line="240" w:lineRule="auto"/>
        <w:rPr>
          <w:rFonts w:ascii="Times New Roman" w:hAnsi="Times New Roman" w:cs="Times New Roman"/>
        </w:rPr>
      </w:pPr>
    </w:p>
    <w:p w14:paraId="189F41C7" w14:textId="77777777" w:rsidR="00C55EE2" w:rsidRPr="00677557" w:rsidRDefault="00C55EE2" w:rsidP="00C55EE2">
      <w:pPr>
        <w:pStyle w:val="NoSpacing"/>
        <w:rPr>
          <w:rFonts w:cstheme="minorHAnsi"/>
        </w:rPr>
      </w:pPr>
      <w:r w:rsidRPr="00677557">
        <w:rPr>
          <w:rFonts w:cstheme="minorHAnsi"/>
        </w:rPr>
        <w:t>Rodents are commonly used to study tumor biology and the development of new therapeutic approaches to cancer. Enhanced monitoring and appropriate supportive care are necessary to prevent and minimize animal pain and distress in experimental oncology studies consistent with the scientific requirements of the study. The Principal Investigator should state the degree of tumor development required to meet the scientific objectives of the study. For all cancer research models, endpoints should be established in advance and approved by the Institutional Animal Care and Use Committee (IACUC) to determine when animals should be euthanized.  The standard guidelines recommended below are common in experimental oncology and should be used whenever possible. Extended humane endpoints require specific scientific justification as well as enhanced monitoring and supportive care.  Veterinary staff and the IACUC can request records of the clinical assessments of these animals (i.e. notations on health check cards, cage-side monitoring logs, and personal laboratory notebooks). Thus, it is imperative to properly maintain complete and contemporaneous records for these animals in a readily accessible location and format.</w:t>
      </w:r>
    </w:p>
    <w:p w14:paraId="1FF40400" w14:textId="77777777" w:rsidR="00FF188A" w:rsidRPr="002E4EE4" w:rsidRDefault="00FF188A" w:rsidP="002A124C">
      <w:pPr>
        <w:tabs>
          <w:tab w:val="left" w:pos="-720"/>
          <w:tab w:val="left" w:pos="-270"/>
        </w:tabs>
        <w:suppressAutoHyphens/>
        <w:spacing w:after="0" w:line="240" w:lineRule="auto"/>
        <w:rPr>
          <w:rFonts w:cstheme="minorHAnsi"/>
        </w:rPr>
      </w:pPr>
    </w:p>
    <w:p w14:paraId="22647FE9" w14:textId="12A80358" w:rsidR="00D95AA8" w:rsidRPr="00004F25" w:rsidRDefault="00D95AA8" w:rsidP="00C211C4">
      <w:pPr>
        <w:pStyle w:val="NoSpacing"/>
        <w:rPr>
          <w:rFonts w:cs="Calibri (Body)"/>
          <w:bCs/>
          <w:color w:val="548DD4" w:themeColor="text2" w:themeTint="99"/>
          <w:sz w:val="26"/>
          <w:szCs w:val="26"/>
        </w:rPr>
      </w:pPr>
      <w:r w:rsidRPr="00004F25">
        <w:rPr>
          <w:rFonts w:cs="Calibri (Body)"/>
          <w:bCs/>
          <w:color w:val="548DD4" w:themeColor="text2" w:themeTint="99"/>
          <w:sz w:val="26"/>
          <w:szCs w:val="26"/>
        </w:rPr>
        <w:t>Prior to Starting Tumor Work</w:t>
      </w:r>
    </w:p>
    <w:p w14:paraId="79680F91" w14:textId="77777777" w:rsidR="002678D8" w:rsidRPr="002E4EE4" w:rsidRDefault="002678D8" w:rsidP="002678D8">
      <w:pPr>
        <w:numPr>
          <w:ilvl w:val="0"/>
          <w:numId w:val="9"/>
        </w:numPr>
        <w:spacing w:after="0" w:line="240" w:lineRule="auto"/>
        <w:rPr>
          <w:rFonts w:cstheme="minorHAnsi"/>
        </w:rPr>
      </w:pPr>
      <w:r w:rsidRPr="002E4EE4">
        <w:rPr>
          <w:rFonts w:cstheme="minorHAnsi"/>
        </w:rPr>
        <w:t>All animals to be implanted with tumors must be identified at the time of ordering on the Animal Requisition Form.</w:t>
      </w:r>
    </w:p>
    <w:p w14:paraId="235200D0" w14:textId="0F39A801" w:rsidR="002678D8" w:rsidRPr="002E4EE4" w:rsidRDefault="002678D8" w:rsidP="002678D8">
      <w:pPr>
        <w:numPr>
          <w:ilvl w:val="0"/>
          <w:numId w:val="9"/>
        </w:numPr>
        <w:spacing w:after="0" w:line="240" w:lineRule="auto"/>
        <w:rPr>
          <w:rFonts w:cstheme="minorHAnsi"/>
        </w:rPr>
      </w:pPr>
      <w:r w:rsidRPr="002E4EE4">
        <w:rPr>
          <w:rFonts w:cstheme="minorHAnsi"/>
        </w:rPr>
        <w:t>All tumor and cell lines must be tested for adventitious rodent pathogens prior to use in the animals via PCR testing.  Documentation of test results must be submitted to the DLAM Director prior to tumor use.  For information on the PCR testing, contact the DLAM Director at x3958.</w:t>
      </w:r>
    </w:p>
    <w:p w14:paraId="44463F9D" w14:textId="1920EE68" w:rsidR="002678D8" w:rsidRPr="002E4EE4" w:rsidRDefault="002678D8" w:rsidP="002678D8">
      <w:pPr>
        <w:numPr>
          <w:ilvl w:val="0"/>
          <w:numId w:val="9"/>
        </w:numPr>
        <w:spacing w:after="0" w:line="240" w:lineRule="auto"/>
        <w:rPr>
          <w:rFonts w:cstheme="minorHAnsi"/>
        </w:rPr>
      </w:pPr>
      <w:r w:rsidRPr="002E4EE4">
        <w:rPr>
          <w:rFonts w:cstheme="minorHAnsi"/>
        </w:rPr>
        <w:t>All rodent tumors or cells obtained from the ATCC (American Type Culture Collection), which are not tested for adventitious rodent pathogens, must also be tested.  Human tumors or cells obtained from the ATCC (American Type Culture Collection) do not need to be tested.</w:t>
      </w:r>
    </w:p>
    <w:p w14:paraId="33A5B9A9" w14:textId="27222DCA" w:rsidR="002E4EE4" w:rsidRPr="00C55EE2" w:rsidRDefault="002678D8" w:rsidP="00C55EE2">
      <w:pPr>
        <w:numPr>
          <w:ilvl w:val="0"/>
          <w:numId w:val="9"/>
        </w:numPr>
        <w:spacing w:after="0" w:line="240" w:lineRule="auto"/>
        <w:rPr>
          <w:rFonts w:cstheme="minorHAnsi"/>
        </w:rPr>
      </w:pPr>
      <w:r w:rsidRPr="002E4EE4">
        <w:rPr>
          <w:rFonts w:cstheme="minorHAnsi"/>
        </w:rPr>
        <w:t>Tumor bearing animals must be observed frequently by the investigator/staff to assess the progress of the tumor growth (measure size) and/or metastasis, the progress of therapeutic regiments, and the general condition of the animal.  Addi</w:t>
      </w:r>
      <w:r w:rsidR="00BA10F6" w:rsidRPr="002E4EE4">
        <w:rPr>
          <w:rFonts w:cstheme="minorHAnsi"/>
        </w:rPr>
        <w:t>tionally, once a tumor is close</w:t>
      </w:r>
      <w:r w:rsidRPr="002E4EE4">
        <w:rPr>
          <w:rFonts w:cstheme="minorHAnsi"/>
        </w:rPr>
        <w:t xml:space="preserve"> to the endpoint, the animal must be observed daily or more frequently by the investigator and/or their staff.</w:t>
      </w:r>
    </w:p>
    <w:p w14:paraId="0E641FD8" w14:textId="77777777" w:rsidR="002E4EE4" w:rsidRPr="002E4EE4" w:rsidRDefault="002E4EE4" w:rsidP="002A124C">
      <w:pPr>
        <w:pStyle w:val="NoSpacing"/>
        <w:jc w:val="center"/>
        <w:rPr>
          <w:rFonts w:cstheme="minorHAnsi"/>
          <w:b/>
        </w:rPr>
      </w:pPr>
    </w:p>
    <w:p w14:paraId="0DBEE3A1" w14:textId="32720224" w:rsidR="0039225A" w:rsidRPr="00004F25" w:rsidRDefault="002E4EE4" w:rsidP="002E4EE4">
      <w:pPr>
        <w:pStyle w:val="NoSpacing"/>
        <w:rPr>
          <w:rFonts w:cs="Calibri (Body)"/>
          <w:bCs/>
          <w:color w:val="548DD4" w:themeColor="text2" w:themeTint="99"/>
          <w:sz w:val="26"/>
          <w:szCs w:val="26"/>
        </w:rPr>
      </w:pPr>
      <w:r w:rsidRPr="00004F25">
        <w:rPr>
          <w:rFonts w:cs="Calibri (Body)"/>
          <w:bCs/>
          <w:color w:val="548DD4" w:themeColor="text2" w:themeTint="99"/>
          <w:sz w:val="26"/>
          <w:szCs w:val="26"/>
        </w:rPr>
        <w:t>Standard Humane Endpoints for Tumors in Mice and Rats</w:t>
      </w:r>
    </w:p>
    <w:p w14:paraId="6F2F5574" w14:textId="2B577903" w:rsidR="00CC3216" w:rsidRDefault="00CC3216" w:rsidP="002A124C">
      <w:pPr>
        <w:pStyle w:val="NoSpacing"/>
        <w:rPr>
          <w:rFonts w:cstheme="minorHAnsi"/>
        </w:rPr>
      </w:pPr>
      <w:r w:rsidRPr="002E4EE4">
        <w:rPr>
          <w:rFonts w:cstheme="minorHAnsi"/>
        </w:rPr>
        <w:t>The following are the standard humane endpoints for tumor studies:</w:t>
      </w:r>
    </w:p>
    <w:p w14:paraId="55CA326B" w14:textId="77777777" w:rsidR="002E4EE4" w:rsidRPr="002E4EE4" w:rsidRDefault="002E4EE4" w:rsidP="002A124C">
      <w:pPr>
        <w:pStyle w:val="NoSpacing"/>
        <w:rPr>
          <w:rFonts w:cstheme="minorHAnsi"/>
        </w:rPr>
      </w:pPr>
    </w:p>
    <w:p w14:paraId="65EE8F78"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Cumulative tumor burden/animal (see formulas for calculating volume below)</w:t>
      </w:r>
    </w:p>
    <w:p w14:paraId="0C02D03B" w14:textId="77777777" w:rsidR="002E4EE4" w:rsidRPr="00101FBD" w:rsidRDefault="002E4EE4" w:rsidP="002E4EE4">
      <w:pPr>
        <w:numPr>
          <w:ilvl w:val="1"/>
          <w:numId w:val="8"/>
        </w:numPr>
        <w:tabs>
          <w:tab w:val="left" w:pos="-720"/>
          <w:tab w:val="left" w:pos="-270"/>
        </w:tabs>
        <w:suppressAutoHyphens/>
        <w:spacing w:after="0" w:line="240" w:lineRule="auto"/>
        <w:rPr>
          <w:rFonts w:cstheme="minorHAnsi"/>
        </w:rPr>
      </w:pPr>
      <w:r w:rsidRPr="00101FBD">
        <w:rPr>
          <w:rFonts w:cstheme="minorHAnsi"/>
        </w:rPr>
        <w:t>Mice: 1 cm</w:t>
      </w:r>
      <w:r w:rsidRPr="00101FBD">
        <w:rPr>
          <w:rFonts w:cstheme="minorHAnsi"/>
          <w:vertAlign w:val="superscript"/>
        </w:rPr>
        <w:t>3</w:t>
      </w:r>
      <w:r w:rsidRPr="00101FBD">
        <w:rPr>
          <w:rFonts w:cstheme="minorHAnsi"/>
        </w:rPr>
        <w:t xml:space="preserve"> and/or no greater than 1.5 cm in diameter in any one direction </w:t>
      </w:r>
    </w:p>
    <w:p w14:paraId="62FB0E8B" w14:textId="77777777" w:rsidR="002E4EE4" w:rsidRPr="00101FBD" w:rsidRDefault="002E4EE4" w:rsidP="002E4EE4">
      <w:pPr>
        <w:numPr>
          <w:ilvl w:val="1"/>
          <w:numId w:val="8"/>
        </w:numPr>
        <w:tabs>
          <w:tab w:val="left" w:pos="-720"/>
          <w:tab w:val="left" w:pos="-270"/>
        </w:tabs>
        <w:suppressAutoHyphens/>
        <w:spacing w:after="0" w:line="240" w:lineRule="auto"/>
        <w:rPr>
          <w:rFonts w:cstheme="minorHAnsi"/>
        </w:rPr>
      </w:pPr>
      <w:r w:rsidRPr="00101FBD">
        <w:rPr>
          <w:rFonts w:cstheme="minorHAnsi"/>
        </w:rPr>
        <w:t>Rats: 4.5 cm</w:t>
      </w:r>
      <w:r w:rsidRPr="00101FBD">
        <w:rPr>
          <w:rFonts w:cstheme="minorHAnsi"/>
          <w:vertAlign w:val="superscript"/>
        </w:rPr>
        <w:t xml:space="preserve">3 </w:t>
      </w:r>
      <w:r w:rsidRPr="00101FBD">
        <w:rPr>
          <w:rFonts w:cstheme="minorHAnsi"/>
        </w:rPr>
        <w:t>and/or no greater than 4 cm in diameter in any one direction</w:t>
      </w:r>
    </w:p>
    <w:p w14:paraId="5469E3A7"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lastRenderedPageBreak/>
        <w:t>Body Condition Score (BCS) of &lt;2/5 and/or weight loss &gt;15% from baseline body weight (excluding tumor weight)</w:t>
      </w:r>
    </w:p>
    <w:p w14:paraId="7D4F72DA"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Presence of necrosis or ulceration</w:t>
      </w:r>
    </w:p>
    <w:p w14:paraId="6BF618B1"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Prolonged labored breathing or respiratory distress</w:t>
      </w:r>
    </w:p>
    <w:p w14:paraId="5B1E361C"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Significant abdominal distention (i.e., ascites)</w:t>
      </w:r>
    </w:p>
    <w:p w14:paraId="310EBB19"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Compromised ability to eat or drink</w:t>
      </w:r>
    </w:p>
    <w:p w14:paraId="1D2C6947"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Absence of or abnormal fecal or urine output</w:t>
      </w:r>
    </w:p>
    <w:p w14:paraId="4BCF8F4D"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Lethargy or reluctance to move</w:t>
      </w:r>
    </w:p>
    <w:p w14:paraId="74B953E3"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Abnormal gait, paresis or paralysis</w:t>
      </w:r>
    </w:p>
    <w:p w14:paraId="04D42048"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Other clinical signs of pain, such as vocalizations or chewing of the lesion, that are nonresponsive to analgesic therapy</w:t>
      </w:r>
    </w:p>
    <w:p w14:paraId="58E72486" w14:textId="77777777" w:rsidR="002E4EE4" w:rsidRPr="00984185" w:rsidRDefault="002E4EE4" w:rsidP="002E4EE4">
      <w:pPr>
        <w:pStyle w:val="NoSpacing"/>
        <w:rPr>
          <w:rFonts w:cstheme="minorHAnsi"/>
          <w:sz w:val="16"/>
          <w:szCs w:val="16"/>
        </w:rPr>
      </w:pPr>
    </w:p>
    <w:p w14:paraId="367115A0" w14:textId="77777777" w:rsidR="002E4EE4" w:rsidRDefault="002E4EE4" w:rsidP="002E4EE4">
      <w:pPr>
        <w:pStyle w:val="NoSpacing"/>
        <w:rPr>
          <w:rFonts w:cstheme="minorHAnsi"/>
        </w:rPr>
      </w:pPr>
      <w:r w:rsidRPr="00101FBD">
        <w:rPr>
          <w:rFonts w:cstheme="minorHAnsi"/>
        </w:rPr>
        <w:t xml:space="preserve">Animals should be assessed </w:t>
      </w:r>
      <w:r w:rsidRPr="00C211C4">
        <w:rPr>
          <w:rFonts w:cstheme="minorHAnsi"/>
          <w:u w:val="single"/>
        </w:rPr>
        <w:t>at least twice a week for the above endpoints</w:t>
      </w:r>
      <w:r w:rsidRPr="00101FBD">
        <w:rPr>
          <w:rFonts w:cstheme="minorHAnsi"/>
        </w:rPr>
        <w:t xml:space="preserve">. </w:t>
      </w:r>
    </w:p>
    <w:p w14:paraId="233BBA59" w14:textId="151B5C8D" w:rsidR="00CC3216" w:rsidRPr="002E4EE4" w:rsidRDefault="00CC3216" w:rsidP="002A124C">
      <w:pPr>
        <w:pStyle w:val="NoSpacing"/>
        <w:rPr>
          <w:rFonts w:cstheme="minorHAnsi"/>
        </w:rPr>
      </w:pPr>
    </w:p>
    <w:p w14:paraId="4568A998" w14:textId="77777777" w:rsidR="00A02B3D" w:rsidRPr="002E4EE4" w:rsidRDefault="00A02B3D" w:rsidP="002A124C">
      <w:pPr>
        <w:pStyle w:val="NoSpacing"/>
        <w:rPr>
          <w:rFonts w:cstheme="minorHAnsi"/>
          <w:b/>
        </w:rPr>
      </w:pPr>
    </w:p>
    <w:p w14:paraId="5B3F0E13" w14:textId="77777777" w:rsidR="00040F43" w:rsidRPr="00004F25" w:rsidRDefault="00040F43" w:rsidP="00C211C4">
      <w:pPr>
        <w:pStyle w:val="NoSpacing"/>
        <w:rPr>
          <w:rFonts w:cs="Calibri (Body)"/>
          <w:bCs/>
          <w:color w:val="548DD4" w:themeColor="text2" w:themeTint="99"/>
          <w:sz w:val="26"/>
          <w:szCs w:val="26"/>
        </w:rPr>
      </w:pPr>
      <w:r w:rsidRPr="00004F25">
        <w:rPr>
          <w:rFonts w:cs="Calibri (Body)"/>
          <w:bCs/>
          <w:color w:val="548DD4" w:themeColor="text2" w:themeTint="99"/>
          <w:sz w:val="26"/>
          <w:szCs w:val="26"/>
        </w:rPr>
        <w:t xml:space="preserve">Extended Humane Endpoints for </w:t>
      </w:r>
      <w:r w:rsidR="009C5F33" w:rsidRPr="00004F25">
        <w:rPr>
          <w:rFonts w:cs="Calibri (Body)"/>
          <w:bCs/>
          <w:color w:val="548DD4" w:themeColor="text2" w:themeTint="99"/>
          <w:sz w:val="26"/>
          <w:szCs w:val="26"/>
        </w:rPr>
        <w:t xml:space="preserve">Subcutaneous </w:t>
      </w:r>
      <w:r w:rsidRPr="00004F25">
        <w:rPr>
          <w:rFonts w:cs="Calibri (Body)"/>
          <w:bCs/>
          <w:color w:val="548DD4" w:themeColor="text2" w:themeTint="99"/>
          <w:sz w:val="26"/>
          <w:szCs w:val="26"/>
        </w:rPr>
        <w:t>Tumors in Mice</w:t>
      </w:r>
    </w:p>
    <w:p w14:paraId="2FE5B799" w14:textId="77777777" w:rsidR="00C211C4" w:rsidRPr="00101FBD" w:rsidRDefault="00C211C4" w:rsidP="00C211C4">
      <w:pPr>
        <w:pStyle w:val="NoSpacing"/>
        <w:rPr>
          <w:rFonts w:cstheme="minorHAnsi"/>
        </w:rPr>
      </w:pPr>
      <w:r w:rsidRPr="00101FBD">
        <w:rPr>
          <w:rFonts w:cstheme="minorHAnsi"/>
        </w:rPr>
        <w:t xml:space="preserve">Under special circumstances some of the currently accepted tumor humane endpoints do not align with scientific goals in the study of tumor biology (i.e. study of metastasis, tumor therapeutics, etc.) In such cases and with scientific justification, the following tumor sizes and development of necrosis/ulcerations may be allowed: </w:t>
      </w:r>
    </w:p>
    <w:p w14:paraId="1AC1261A" w14:textId="77777777" w:rsidR="00C211C4" w:rsidRPr="00101FBD" w:rsidRDefault="00C211C4" w:rsidP="00C211C4">
      <w:pPr>
        <w:pStyle w:val="NoSpacing"/>
        <w:rPr>
          <w:rFonts w:cstheme="minorHAnsi"/>
        </w:rPr>
      </w:pPr>
    </w:p>
    <w:p w14:paraId="7EDF6BCA" w14:textId="77777777" w:rsidR="00C211C4" w:rsidRPr="00101FBD" w:rsidRDefault="00C211C4" w:rsidP="00C211C4">
      <w:pPr>
        <w:pStyle w:val="NoSpacing"/>
        <w:numPr>
          <w:ilvl w:val="0"/>
          <w:numId w:val="1"/>
        </w:numPr>
        <w:rPr>
          <w:rFonts w:cstheme="minorHAnsi"/>
        </w:rPr>
      </w:pPr>
      <w:proofErr w:type="gramStart"/>
      <w:r w:rsidRPr="00101FBD">
        <w:rPr>
          <w:rFonts w:cstheme="minorHAnsi"/>
        </w:rPr>
        <w:t>Tumor</w:t>
      </w:r>
      <w:proofErr w:type="gramEnd"/>
      <w:r w:rsidRPr="00101FBD">
        <w:rPr>
          <w:rFonts w:cstheme="minorHAnsi"/>
        </w:rPr>
        <w:t xml:space="preserve"> size no greater than 1.5 cm</w:t>
      </w:r>
      <w:r w:rsidRPr="00101FBD">
        <w:rPr>
          <w:rFonts w:cstheme="minorHAnsi"/>
          <w:vertAlign w:val="superscript"/>
        </w:rPr>
        <w:t>3</w:t>
      </w:r>
      <w:r w:rsidRPr="00101FBD">
        <w:rPr>
          <w:rFonts w:cstheme="minorHAnsi"/>
        </w:rPr>
        <w:t xml:space="preserve"> and/or no greater than 2 cm in diameter in any one direction. </w:t>
      </w:r>
    </w:p>
    <w:p w14:paraId="5C371500" w14:textId="77777777" w:rsidR="00C211C4" w:rsidRPr="00101FBD" w:rsidRDefault="00C211C4" w:rsidP="00C211C4">
      <w:pPr>
        <w:pStyle w:val="NoSpacing"/>
        <w:numPr>
          <w:ilvl w:val="0"/>
          <w:numId w:val="1"/>
        </w:numPr>
        <w:rPr>
          <w:rFonts w:cstheme="minorHAnsi"/>
        </w:rPr>
      </w:pPr>
      <w:r w:rsidRPr="00101FBD">
        <w:rPr>
          <w:rFonts w:cstheme="minorHAnsi"/>
        </w:rPr>
        <w:t>Persistence of visible ulceration or necrosis (no greater than 5 mm in diameter in any one direction) at the primary tumor site may be permissible provided that:</w:t>
      </w:r>
    </w:p>
    <w:p w14:paraId="482D7B23" w14:textId="77777777" w:rsidR="00C211C4" w:rsidRDefault="00C211C4" w:rsidP="00C211C4">
      <w:pPr>
        <w:pStyle w:val="NoSpacing"/>
        <w:numPr>
          <w:ilvl w:val="1"/>
          <w:numId w:val="1"/>
        </w:numPr>
        <w:ind w:left="1170"/>
        <w:rPr>
          <w:rFonts w:cstheme="minorHAnsi"/>
        </w:rPr>
      </w:pPr>
      <w:r w:rsidRPr="00101FBD">
        <w:rPr>
          <w:rFonts w:cstheme="minorHAnsi"/>
        </w:rPr>
        <w:t xml:space="preserve">Animals in pain </w:t>
      </w:r>
      <w:r>
        <w:rPr>
          <w:rFonts w:cstheme="minorHAnsi"/>
        </w:rPr>
        <w:t xml:space="preserve">will </w:t>
      </w:r>
      <w:r w:rsidRPr="00101FBD">
        <w:rPr>
          <w:rFonts w:cstheme="minorHAnsi"/>
        </w:rPr>
        <w:t xml:space="preserve">receive analgesia, unless the protocol includes justification for no analgesics, in consultation with veterinary staff. Euthanasia is required for painful animals which do not respond to analgesia. </w:t>
      </w:r>
    </w:p>
    <w:p w14:paraId="7792557E" w14:textId="77777777" w:rsidR="00C55EE2" w:rsidRDefault="00C211C4" w:rsidP="00C211C4">
      <w:pPr>
        <w:pStyle w:val="NoSpacing"/>
        <w:numPr>
          <w:ilvl w:val="2"/>
          <w:numId w:val="1"/>
        </w:numPr>
        <w:rPr>
          <w:rFonts w:cstheme="minorHAnsi"/>
        </w:rPr>
      </w:pPr>
      <w:r w:rsidRPr="00C211C4">
        <w:rPr>
          <w:rFonts w:cstheme="minorHAnsi"/>
        </w:rPr>
        <w:t xml:space="preserve">Buprenorphine or buprenorphine SR should be considered as a </w:t>
      </w:r>
      <w:proofErr w:type="gramStart"/>
      <w:r w:rsidRPr="00C211C4">
        <w:rPr>
          <w:rFonts w:cstheme="minorHAnsi"/>
        </w:rPr>
        <w:t>first choice</w:t>
      </w:r>
      <w:proofErr w:type="gramEnd"/>
      <w:r w:rsidRPr="00C211C4">
        <w:rPr>
          <w:rFonts w:cstheme="minorHAnsi"/>
        </w:rPr>
        <w:t xml:space="preserve"> analgesic. </w:t>
      </w:r>
    </w:p>
    <w:p w14:paraId="13D9DB43" w14:textId="7BA91DC5" w:rsidR="00C211C4" w:rsidRPr="00DE1069" w:rsidRDefault="00C55EE2" w:rsidP="00C211C4">
      <w:pPr>
        <w:pStyle w:val="NoSpacing"/>
        <w:numPr>
          <w:ilvl w:val="2"/>
          <w:numId w:val="1"/>
        </w:numPr>
        <w:rPr>
          <w:rFonts w:cstheme="minorHAnsi"/>
        </w:rPr>
      </w:pPr>
      <w:r>
        <w:rPr>
          <w:rFonts w:cstheme="minorHAnsi"/>
        </w:rPr>
        <w:t>Acetaminophen (</w:t>
      </w:r>
      <w:r w:rsidR="00C211C4" w:rsidRPr="00C55EE2">
        <w:rPr>
          <w:rFonts w:cstheme="minorHAnsi"/>
        </w:rPr>
        <w:t>Tylenol</w:t>
      </w:r>
      <w:r w:rsidRPr="00C55EE2">
        <w:rPr>
          <w:rFonts w:cstheme="minorHAnsi"/>
        </w:rPr>
        <w:t>®)</w:t>
      </w:r>
      <w:r w:rsidR="00C211C4" w:rsidRPr="00C55EE2">
        <w:rPr>
          <w:rFonts w:cstheme="minorHAnsi"/>
        </w:rPr>
        <w:t xml:space="preserve"> may</w:t>
      </w:r>
      <w:r w:rsidR="00C211C4" w:rsidRPr="00C211C4">
        <w:rPr>
          <w:rFonts w:cstheme="minorHAnsi"/>
        </w:rPr>
        <w:t xml:space="preserve"> be used at a dose of 300 mg/kg added to water and changed every 48 hours</w:t>
      </w:r>
      <w:r>
        <w:rPr>
          <w:rFonts w:cstheme="minorHAnsi"/>
        </w:rPr>
        <w:t>.</w:t>
      </w:r>
      <w:r w:rsidR="00C211C4" w:rsidRPr="00C211C4">
        <w:rPr>
          <w:rFonts w:cstheme="minorHAnsi"/>
        </w:rPr>
        <w:t xml:space="preserve"> </w:t>
      </w:r>
      <w:r>
        <w:rPr>
          <w:rFonts w:cstheme="minorHAnsi"/>
        </w:rPr>
        <w:t xml:space="preserve"> </w:t>
      </w:r>
      <w:r w:rsidRPr="00DE1069">
        <w:rPr>
          <w:rFonts w:cstheme="minorHAnsi"/>
        </w:rPr>
        <w:t xml:space="preserve">Acetaminophen is not preferred as a sole analgesic for severe pain. </w:t>
      </w:r>
    </w:p>
    <w:p w14:paraId="27BD623F" w14:textId="546E37C0" w:rsidR="00C211C4" w:rsidRDefault="00C211C4" w:rsidP="00C211C4">
      <w:pPr>
        <w:pStyle w:val="NoSpacing"/>
        <w:numPr>
          <w:ilvl w:val="2"/>
          <w:numId w:val="1"/>
        </w:numPr>
        <w:rPr>
          <w:rFonts w:cstheme="minorHAnsi"/>
        </w:rPr>
      </w:pPr>
      <w:r w:rsidRPr="00C211C4">
        <w:rPr>
          <w:rFonts w:cstheme="minorHAnsi"/>
        </w:rPr>
        <w:t>Scientific justification must be given if no analgesics are being given.</w:t>
      </w:r>
    </w:p>
    <w:p w14:paraId="235DB3D8" w14:textId="77777777" w:rsidR="00C55EE2" w:rsidRDefault="00C55EE2" w:rsidP="00C55EE2">
      <w:pPr>
        <w:pStyle w:val="NoSpacing"/>
        <w:ind w:left="2160"/>
        <w:rPr>
          <w:rFonts w:cstheme="minorHAnsi"/>
        </w:rPr>
      </w:pPr>
    </w:p>
    <w:tbl>
      <w:tblPr>
        <w:tblW w:w="8730" w:type="dxa"/>
        <w:tblInd w:w="570" w:type="dxa"/>
        <w:tblLayout w:type="fixed"/>
        <w:tblCellMar>
          <w:left w:w="30" w:type="dxa"/>
          <w:right w:w="30" w:type="dxa"/>
        </w:tblCellMar>
        <w:tblLook w:val="0000" w:firstRow="0" w:lastRow="0" w:firstColumn="0" w:lastColumn="0" w:noHBand="0" w:noVBand="0"/>
      </w:tblPr>
      <w:tblGrid>
        <w:gridCol w:w="592"/>
        <w:gridCol w:w="218"/>
        <w:gridCol w:w="1530"/>
        <w:gridCol w:w="1080"/>
        <w:gridCol w:w="1260"/>
        <w:gridCol w:w="1440"/>
        <w:gridCol w:w="1350"/>
        <w:gridCol w:w="1042"/>
        <w:gridCol w:w="218"/>
      </w:tblGrid>
      <w:tr w:rsidR="00C55EE2" w:rsidRPr="002F0AB3" w14:paraId="2109C8F8" w14:textId="77777777" w:rsidTr="00252004">
        <w:trPr>
          <w:trHeight w:val="507"/>
        </w:trPr>
        <w:tc>
          <w:tcPr>
            <w:tcW w:w="810"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tcPr>
          <w:p w14:paraId="71B60A34" w14:textId="77777777" w:rsidR="00C55EE2" w:rsidRPr="00FD4BFA" w:rsidRDefault="00C55EE2" w:rsidP="00252004">
            <w:pPr>
              <w:pStyle w:val="Heading7"/>
            </w:pPr>
            <w:r w:rsidRPr="00FD4BFA">
              <w:t>Species</w:t>
            </w:r>
          </w:p>
        </w:tc>
        <w:tc>
          <w:tcPr>
            <w:tcW w:w="153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FB26E10" w14:textId="77777777" w:rsidR="00C55EE2" w:rsidRPr="00FD4BFA" w:rsidRDefault="00C55EE2" w:rsidP="00252004">
            <w:pPr>
              <w:pStyle w:val="Heading8"/>
              <w:rPr>
                <w:sz w:val="22"/>
                <w:szCs w:val="22"/>
              </w:rPr>
            </w:pPr>
            <w:r w:rsidRPr="00FD4BFA">
              <w:rPr>
                <w:sz w:val="22"/>
                <w:szCs w:val="22"/>
              </w:rPr>
              <w:t>Drug</w:t>
            </w:r>
          </w:p>
        </w:tc>
        <w:tc>
          <w:tcPr>
            <w:tcW w:w="108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B3561B6" w14:textId="77777777" w:rsidR="00C55EE2" w:rsidRPr="00FD4BFA" w:rsidRDefault="00C55EE2" w:rsidP="00252004">
            <w:pPr>
              <w:pStyle w:val="Heading9"/>
            </w:pPr>
            <w:r w:rsidRPr="00FD4BFA">
              <w:t>Route</w:t>
            </w:r>
          </w:p>
        </w:tc>
        <w:tc>
          <w:tcPr>
            <w:tcW w:w="12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9F24D5F"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Dose (mg/kg) or (mg/ml or L)</w:t>
            </w:r>
          </w:p>
        </w:tc>
        <w:tc>
          <w:tcPr>
            <w:tcW w:w="14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1F8F0F94"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Drug Concentration (mg/ml)</w:t>
            </w:r>
          </w:p>
        </w:tc>
        <w:tc>
          <w:tcPr>
            <w:tcW w:w="135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4E5560FB"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ml to add to a full water bottle (473ml)</w:t>
            </w:r>
          </w:p>
        </w:tc>
        <w:tc>
          <w:tcPr>
            <w:tcW w:w="1260"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tcPr>
          <w:p w14:paraId="3C764A36"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Final Concentration in Water (mg/ml)</w:t>
            </w:r>
          </w:p>
        </w:tc>
      </w:tr>
      <w:tr w:rsidR="00C55EE2" w:rsidRPr="002F0AB3" w14:paraId="5B82D8CF" w14:textId="77777777" w:rsidTr="00252004">
        <w:trPr>
          <w:trHeight w:val="303"/>
        </w:trPr>
        <w:tc>
          <w:tcPr>
            <w:tcW w:w="810" w:type="dxa"/>
            <w:gridSpan w:val="2"/>
            <w:tcBorders>
              <w:top w:val="single" w:sz="6" w:space="0" w:color="auto"/>
              <w:left w:val="single" w:sz="6" w:space="0" w:color="auto"/>
              <w:bottom w:val="single" w:sz="6" w:space="0" w:color="auto"/>
              <w:right w:val="single" w:sz="6" w:space="0" w:color="auto"/>
            </w:tcBorders>
          </w:tcPr>
          <w:p w14:paraId="0F6F9349"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Mouse</w:t>
            </w:r>
          </w:p>
        </w:tc>
        <w:tc>
          <w:tcPr>
            <w:tcW w:w="1530" w:type="dxa"/>
            <w:tcBorders>
              <w:top w:val="single" w:sz="6" w:space="0" w:color="auto"/>
              <w:left w:val="single" w:sz="6" w:space="0" w:color="auto"/>
              <w:bottom w:val="single" w:sz="6" w:space="0" w:color="auto"/>
              <w:right w:val="single" w:sz="6" w:space="0" w:color="auto"/>
            </w:tcBorders>
          </w:tcPr>
          <w:p w14:paraId="46720C0B"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 xml:space="preserve">Acetaminophen </w:t>
            </w:r>
          </w:p>
        </w:tc>
        <w:tc>
          <w:tcPr>
            <w:tcW w:w="1080" w:type="dxa"/>
            <w:tcBorders>
              <w:top w:val="single" w:sz="6" w:space="0" w:color="auto"/>
              <w:left w:val="single" w:sz="6" w:space="0" w:color="auto"/>
              <w:bottom w:val="single" w:sz="6" w:space="0" w:color="auto"/>
              <w:right w:val="single" w:sz="6" w:space="0" w:color="auto"/>
            </w:tcBorders>
          </w:tcPr>
          <w:p w14:paraId="2044E880"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In Water</w:t>
            </w:r>
          </w:p>
        </w:tc>
        <w:tc>
          <w:tcPr>
            <w:tcW w:w="1260" w:type="dxa"/>
            <w:tcBorders>
              <w:top w:val="single" w:sz="6" w:space="0" w:color="auto"/>
              <w:left w:val="single" w:sz="6" w:space="0" w:color="auto"/>
              <w:bottom w:val="single" w:sz="6" w:space="0" w:color="auto"/>
              <w:right w:val="single" w:sz="6" w:space="0" w:color="auto"/>
            </w:tcBorders>
          </w:tcPr>
          <w:p w14:paraId="0E983C90"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300</w:t>
            </w:r>
          </w:p>
        </w:tc>
        <w:tc>
          <w:tcPr>
            <w:tcW w:w="1440" w:type="dxa"/>
            <w:tcBorders>
              <w:top w:val="single" w:sz="6" w:space="0" w:color="auto"/>
              <w:left w:val="single" w:sz="6" w:space="0" w:color="auto"/>
              <w:bottom w:val="single" w:sz="6" w:space="0" w:color="auto"/>
              <w:right w:val="single" w:sz="6" w:space="0" w:color="auto"/>
            </w:tcBorders>
          </w:tcPr>
          <w:p w14:paraId="01580D6C"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50 or 32</w:t>
            </w:r>
          </w:p>
        </w:tc>
        <w:tc>
          <w:tcPr>
            <w:tcW w:w="1350" w:type="dxa"/>
            <w:tcBorders>
              <w:top w:val="single" w:sz="6" w:space="0" w:color="auto"/>
              <w:left w:val="single" w:sz="6" w:space="0" w:color="auto"/>
              <w:bottom w:val="single" w:sz="6" w:space="0" w:color="auto"/>
              <w:right w:val="single" w:sz="6" w:space="0" w:color="auto"/>
            </w:tcBorders>
          </w:tcPr>
          <w:p w14:paraId="2A07A90D"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14.0 or 22.0</w:t>
            </w:r>
          </w:p>
        </w:tc>
        <w:tc>
          <w:tcPr>
            <w:tcW w:w="1260" w:type="dxa"/>
            <w:gridSpan w:val="2"/>
            <w:tcBorders>
              <w:top w:val="single" w:sz="6" w:space="0" w:color="auto"/>
              <w:left w:val="single" w:sz="6" w:space="0" w:color="auto"/>
              <w:bottom w:val="single" w:sz="6" w:space="0" w:color="auto"/>
              <w:right w:val="single" w:sz="6" w:space="0" w:color="auto"/>
            </w:tcBorders>
          </w:tcPr>
          <w:p w14:paraId="02ED0FC6"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1.500</w:t>
            </w:r>
          </w:p>
        </w:tc>
      </w:tr>
      <w:tr w:rsidR="00C55EE2" w:rsidRPr="002F0AB3" w14:paraId="0BF540DB" w14:textId="77777777" w:rsidTr="00252004">
        <w:trPr>
          <w:trHeight w:val="65"/>
        </w:trPr>
        <w:tc>
          <w:tcPr>
            <w:tcW w:w="810" w:type="dxa"/>
            <w:gridSpan w:val="2"/>
            <w:tcBorders>
              <w:top w:val="single" w:sz="6" w:space="0" w:color="auto"/>
              <w:left w:val="single" w:sz="6" w:space="0" w:color="auto"/>
              <w:bottom w:val="single" w:sz="6" w:space="0" w:color="auto"/>
              <w:right w:val="single" w:sz="6" w:space="0" w:color="auto"/>
            </w:tcBorders>
            <w:shd w:val="solid" w:color="808080" w:fill="auto"/>
          </w:tcPr>
          <w:p w14:paraId="45C47666" w14:textId="77777777" w:rsidR="00C55EE2" w:rsidRPr="002F0AB3" w:rsidRDefault="00C55EE2" w:rsidP="00252004">
            <w:pPr>
              <w:autoSpaceDE w:val="0"/>
              <w:autoSpaceDN w:val="0"/>
              <w:adjustRightInd w:val="0"/>
              <w:spacing w:after="0" w:line="240" w:lineRule="auto"/>
              <w:jc w:val="center"/>
              <w:rPr>
                <w:rFonts w:ascii="Calibri" w:hAnsi="Calibri" w:cs="Calibri"/>
                <w:b/>
                <w:bCs/>
                <w:color w:val="000000"/>
                <w:sz w:val="6"/>
                <w:szCs w:val="6"/>
              </w:rPr>
            </w:pPr>
          </w:p>
        </w:tc>
        <w:tc>
          <w:tcPr>
            <w:tcW w:w="1530" w:type="dxa"/>
            <w:tcBorders>
              <w:top w:val="single" w:sz="6" w:space="0" w:color="auto"/>
              <w:left w:val="single" w:sz="6" w:space="0" w:color="auto"/>
              <w:bottom w:val="single" w:sz="6" w:space="0" w:color="auto"/>
              <w:right w:val="single" w:sz="6" w:space="0" w:color="auto"/>
            </w:tcBorders>
            <w:shd w:val="solid" w:color="808080" w:fill="auto"/>
          </w:tcPr>
          <w:p w14:paraId="1CFEFD26"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080" w:type="dxa"/>
            <w:tcBorders>
              <w:top w:val="single" w:sz="6" w:space="0" w:color="auto"/>
              <w:left w:val="single" w:sz="6" w:space="0" w:color="auto"/>
              <w:bottom w:val="single" w:sz="6" w:space="0" w:color="auto"/>
              <w:right w:val="single" w:sz="6" w:space="0" w:color="auto"/>
            </w:tcBorders>
            <w:shd w:val="solid" w:color="808080" w:fill="auto"/>
          </w:tcPr>
          <w:p w14:paraId="7D426953"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260" w:type="dxa"/>
            <w:tcBorders>
              <w:top w:val="single" w:sz="6" w:space="0" w:color="auto"/>
              <w:left w:val="single" w:sz="6" w:space="0" w:color="auto"/>
              <w:bottom w:val="single" w:sz="6" w:space="0" w:color="auto"/>
              <w:right w:val="single" w:sz="6" w:space="0" w:color="auto"/>
            </w:tcBorders>
            <w:shd w:val="solid" w:color="808080" w:fill="auto"/>
          </w:tcPr>
          <w:p w14:paraId="77CFA323"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440" w:type="dxa"/>
            <w:tcBorders>
              <w:top w:val="single" w:sz="6" w:space="0" w:color="auto"/>
              <w:left w:val="single" w:sz="6" w:space="0" w:color="auto"/>
              <w:bottom w:val="single" w:sz="6" w:space="0" w:color="auto"/>
              <w:right w:val="single" w:sz="6" w:space="0" w:color="auto"/>
            </w:tcBorders>
            <w:shd w:val="solid" w:color="808080" w:fill="auto"/>
          </w:tcPr>
          <w:p w14:paraId="73B27E02"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350" w:type="dxa"/>
            <w:tcBorders>
              <w:top w:val="single" w:sz="6" w:space="0" w:color="auto"/>
              <w:left w:val="single" w:sz="6" w:space="0" w:color="auto"/>
              <w:bottom w:val="single" w:sz="6" w:space="0" w:color="auto"/>
              <w:right w:val="single" w:sz="6" w:space="0" w:color="auto"/>
            </w:tcBorders>
            <w:shd w:val="solid" w:color="808080" w:fill="auto"/>
          </w:tcPr>
          <w:p w14:paraId="2198FC2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260" w:type="dxa"/>
            <w:gridSpan w:val="2"/>
            <w:tcBorders>
              <w:top w:val="single" w:sz="6" w:space="0" w:color="auto"/>
              <w:left w:val="single" w:sz="6" w:space="0" w:color="auto"/>
              <w:bottom w:val="single" w:sz="6" w:space="0" w:color="auto"/>
              <w:right w:val="single" w:sz="6" w:space="0" w:color="auto"/>
            </w:tcBorders>
            <w:shd w:val="solid" w:color="808080" w:fill="auto"/>
          </w:tcPr>
          <w:p w14:paraId="050E2D8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r>
      <w:tr w:rsidR="00C55EE2" w:rsidRPr="002F0AB3" w14:paraId="4AC3BE36" w14:textId="77777777" w:rsidTr="00252004">
        <w:trPr>
          <w:trHeight w:val="303"/>
        </w:trPr>
        <w:tc>
          <w:tcPr>
            <w:tcW w:w="810" w:type="dxa"/>
            <w:gridSpan w:val="2"/>
            <w:tcBorders>
              <w:top w:val="single" w:sz="6" w:space="0" w:color="auto"/>
              <w:left w:val="single" w:sz="6" w:space="0" w:color="auto"/>
              <w:bottom w:val="single" w:sz="6" w:space="0" w:color="auto"/>
              <w:right w:val="single" w:sz="6" w:space="0" w:color="auto"/>
            </w:tcBorders>
          </w:tcPr>
          <w:p w14:paraId="5AC5B67F"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Rat</w:t>
            </w:r>
          </w:p>
        </w:tc>
        <w:tc>
          <w:tcPr>
            <w:tcW w:w="1530" w:type="dxa"/>
            <w:tcBorders>
              <w:top w:val="single" w:sz="6" w:space="0" w:color="auto"/>
              <w:left w:val="single" w:sz="6" w:space="0" w:color="auto"/>
              <w:bottom w:val="single" w:sz="6" w:space="0" w:color="auto"/>
              <w:right w:val="single" w:sz="6" w:space="0" w:color="auto"/>
            </w:tcBorders>
          </w:tcPr>
          <w:p w14:paraId="6DF7150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 xml:space="preserve">Acetaminophen </w:t>
            </w:r>
          </w:p>
        </w:tc>
        <w:tc>
          <w:tcPr>
            <w:tcW w:w="1080" w:type="dxa"/>
            <w:tcBorders>
              <w:top w:val="single" w:sz="6" w:space="0" w:color="auto"/>
              <w:left w:val="single" w:sz="6" w:space="0" w:color="auto"/>
              <w:bottom w:val="single" w:sz="6" w:space="0" w:color="auto"/>
              <w:right w:val="single" w:sz="6" w:space="0" w:color="auto"/>
            </w:tcBorders>
          </w:tcPr>
          <w:p w14:paraId="3AEEA72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In Water</w:t>
            </w:r>
          </w:p>
        </w:tc>
        <w:tc>
          <w:tcPr>
            <w:tcW w:w="1260" w:type="dxa"/>
            <w:tcBorders>
              <w:top w:val="single" w:sz="6" w:space="0" w:color="auto"/>
              <w:left w:val="single" w:sz="6" w:space="0" w:color="auto"/>
              <w:bottom w:val="single" w:sz="6" w:space="0" w:color="auto"/>
              <w:right w:val="single" w:sz="6" w:space="0" w:color="auto"/>
            </w:tcBorders>
          </w:tcPr>
          <w:p w14:paraId="708F5583"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300</w:t>
            </w:r>
          </w:p>
        </w:tc>
        <w:tc>
          <w:tcPr>
            <w:tcW w:w="1440" w:type="dxa"/>
            <w:tcBorders>
              <w:top w:val="single" w:sz="6" w:space="0" w:color="auto"/>
              <w:left w:val="single" w:sz="6" w:space="0" w:color="auto"/>
              <w:bottom w:val="single" w:sz="6" w:space="0" w:color="auto"/>
              <w:right w:val="single" w:sz="6" w:space="0" w:color="auto"/>
            </w:tcBorders>
          </w:tcPr>
          <w:p w14:paraId="45D07455"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50 or 32</w:t>
            </w:r>
          </w:p>
        </w:tc>
        <w:tc>
          <w:tcPr>
            <w:tcW w:w="1350" w:type="dxa"/>
            <w:tcBorders>
              <w:top w:val="single" w:sz="6" w:space="0" w:color="auto"/>
              <w:left w:val="single" w:sz="6" w:space="0" w:color="auto"/>
              <w:bottom w:val="single" w:sz="6" w:space="0" w:color="auto"/>
              <w:right w:val="single" w:sz="6" w:space="0" w:color="auto"/>
            </w:tcBorders>
          </w:tcPr>
          <w:p w14:paraId="690BB08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24.0 or 37.0</w:t>
            </w:r>
          </w:p>
        </w:tc>
        <w:tc>
          <w:tcPr>
            <w:tcW w:w="1260" w:type="dxa"/>
            <w:gridSpan w:val="2"/>
            <w:tcBorders>
              <w:top w:val="single" w:sz="6" w:space="0" w:color="auto"/>
              <w:left w:val="single" w:sz="6" w:space="0" w:color="auto"/>
              <w:bottom w:val="single" w:sz="6" w:space="0" w:color="auto"/>
              <w:right w:val="single" w:sz="6" w:space="0" w:color="auto"/>
            </w:tcBorders>
          </w:tcPr>
          <w:p w14:paraId="0080081C"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2.500</w:t>
            </w:r>
          </w:p>
        </w:tc>
      </w:tr>
      <w:tr w:rsidR="00C55EE2" w:rsidRPr="002F0AB3" w14:paraId="08956833"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5265059E" w14:textId="77777777" w:rsidR="00C55EE2" w:rsidRPr="002F0AB3" w:rsidRDefault="00C55EE2" w:rsidP="00252004">
            <w:pPr>
              <w:autoSpaceDE w:val="0"/>
              <w:autoSpaceDN w:val="0"/>
              <w:adjustRightInd w:val="0"/>
              <w:spacing w:after="0" w:line="240" w:lineRule="auto"/>
              <w:rPr>
                <w:rFonts w:ascii="Calibri" w:hAnsi="Calibri" w:cs="Calibri"/>
                <w:color w:val="000000"/>
              </w:rPr>
            </w:pPr>
            <w:r w:rsidRPr="002F0AB3">
              <w:rPr>
                <w:rFonts w:ascii="Calibri" w:hAnsi="Calibri" w:cs="Calibri"/>
                <w:b/>
                <w:bCs/>
                <w:color w:val="000000"/>
              </w:rPr>
              <w:t>Drug dosages are based on:</w:t>
            </w:r>
          </w:p>
        </w:tc>
      </w:tr>
      <w:tr w:rsidR="00C55EE2" w:rsidRPr="002F0AB3" w14:paraId="1C54F87B"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66CB3249" w14:textId="77777777" w:rsidR="00C55EE2" w:rsidRPr="002F0AB3" w:rsidRDefault="00C55EE2" w:rsidP="002520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r w:rsidRPr="002F0AB3">
              <w:rPr>
                <w:rFonts w:ascii="Calibri" w:hAnsi="Calibri" w:cs="Calibri"/>
                <w:color w:val="000000"/>
              </w:rPr>
              <w:t>30 g Mouse drinking 6 ml/day (15 ml per 100 g BW/day)</w:t>
            </w:r>
          </w:p>
        </w:tc>
      </w:tr>
      <w:tr w:rsidR="00C55EE2" w:rsidRPr="002F0AB3" w14:paraId="1AB51519"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02CD57FC" w14:textId="77777777" w:rsidR="00C55EE2" w:rsidRPr="002F0AB3" w:rsidRDefault="00C55EE2" w:rsidP="002520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r w:rsidRPr="002F0AB3">
              <w:rPr>
                <w:rFonts w:ascii="Calibri" w:hAnsi="Calibri" w:cs="Calibri"/>
                <w:color w:val="000000"/>
              </w:rPr>
              <w:t>350 g Rat drinking 42 ml/day (12 ml per 100 g BW/day)</w:t>
            </w:r>
          </w:p>
        </w:tc>
      </w:tr>
      <w:tr w:rsidR="00C55EE2" w:rsidRPr="002F0AB3" w14:paraId="360F2E1B"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2FF71C8E" w14:textId="77777777" w:rsidR="00C55EE2" w:rsidRPr="002F0AB3" w:rsidRDefault="00C55EE2" w:rsidP="00252004">
            <w:pPr>
              <w:autoSpaceDE w:val="0"/>
              <w:autoSpaceDN w:val="0"/>
              <w:adjustRightInd w:val="0"/>
              <w:spacing w:after="0" w:line="240" w:lineRule="auto"/>
              <w:rPr>
                <w:rFonts w:ascii="Calibri" w:hAnsi="Calibri" w:cs="Calibri"/>
                <w:color w:val="000000"/>
              </w:rPr>
            </w:pPr>
            <w:r w:rsidRPr="002F0AB3">
              <w:rPr>
                <w:rFonts w:ascii="Calibri" w:hAnsi="Calibri" w:cs="Calibri"/>
                <w:b/>
                <w:bCs/>
                <w:color w:val="000000"/>
              </w:rPr>
              <w:t xml:space="preserve">Note: </w:t>
            </w:r>
            <w:r w:rsidRPr="002F0AB3">
              <w:rPr>
                <w:rFonts w:ascii="Calibri" w:hAnsi="Calibri" w:cs="Calibri"/>
                <w:color w:val="000000"/>
              </w:rPr>
              <w:t xml:space="preserve">A full CMS water bottle = 16 oz. (473 ml) </w:t>
            </w:r>
          </w:p>
        </w:tc>
      </w:tr>
    </w:tbl>
    <w:p w14:paraId="2BCBB53A" w14:textId="77777777" w:rsidR="00C55EE2" w:rsidRPr="00C211C4" w:rsidRDefault="00C55EE2" w:rsidP="00C55EE2">
      <w:pPr>
        <w:pStyle w:val="NoSpacing"/>
        <w:rPr>
          <w:rFonts w:cstheme="minorHAnsi"/>
        </w:rPr>
      </w:pPr>
    </w:p>
    <w:p w14:paraId="276EDA9D" w14:textId="77777777" w:rsidR="00C211C4" w:rsidRPr="00101FBD" w:rsidRDefault="00C211C4" w:rsidP="00C211C4">
      <w:pPr>
        <w:pStyle w:val="NoSpacing"/>
        <w:numPr>
          <w:ilvl w:val="1"/>
          <w:numId w:val="1"/>
        </w:numPr>
        <w:ind w:left="1170"/>
        <w:rPr>
          <w:rFonts w:cstheme="minorHAnsi"/>
        </w:rPr>
      </w:pPr>
      <w:r w:rsidRPr="00101FBD">
        <w:rPr>
          <w:rFonts w:cstheme="minorHAnsi"/>
        </w:rPr>
        <w:t xml:space="preserve">Animals with infection </w:t>
      </w:r>
      <w:r>
        <w:rPr>
          <w:rFonts w:cstheme="minorHAnsi"/>
        </w:rPr>
        <w:t xml:space="preserve">will </w:t>
      </w:r>
      <w:r w:rsidRPr="00101FBD">
        <w:rPr>
          <w:rFonts w:cstheme="minorHAnsi"/>
        </w:rPr>
        <w:t>receive topical or systemic antibiotic treatment.  Euthanasia is required for animals which do not respond to antibiotic therapy.</w:t>
      </w:r>
    </w:p>
    <w:p w14:paraId="62C576B3" w14:textId="77777777" w:rsidR="00C211C4" w:rsidRPr="00101FBD" w:rsidRDefault="00C211C4" w:rsidP="00C211C4">
      <w:pPr>
        <w:pStyle w:val="NoSpacing"/>
        <w:numPr>
          <w:ilvl w:val="1"/>
          <w:numId w:val="1"/>
        </w:numPr>
        <w:ind w:left="1170"/>
        <w:rPr>
          <w:rFonts w:cstheme="minorHAnsi"/>
        </w:rPr>
      </w:pPr>
      <w:r w:rsidRPr="00101FBD">
        <w:rPr>
          <w:rFonts w:cstheme="minorHAnsi"/>
        </w:rPr>
        <w:t xml:space="preserve">Animals with weakness or painful conditions of the feet </w:t>
      </w:r>
      <w:r>
        <w:rPr>
          <w:rFonts w:cstheme="minorHAnsi"/>
        </w:rPr>
        <w:t xml:space="preserve">will </w:t>
      </w:r>
      <w:r w:rsidRPr="00101FBD">
        <w:rPr>
          <w:rFonts w:cstheme="minorHAnsi"/>
        </w:rPr>
        <w:t xml:space="preserve">receive supportive care on the cage floor, i.e. Hydrogel and/or </w:t>
      </w:r>
      <w:proofErr w:type="spellStart"/>
      <w:r w:rsidRPr="00101FBD">
        <w:rPr>
          <w:rFonts w:cstheme="minorHAnsi"/>
        </w:rPr>
        <w:t>Dietgel</w:t>
      </w:r>
      <w:proofErr w:type="spellEnd"/>
      <w:r w:rsidRPr="00101FBD">
        <w:rPr>
          <w:rFonts w:cstheme="minorHAnsi"/>
        </w:rPr>
        <w:t xml:space="preserve">. </w:t>
      </w:r>
    </w:p>
    <w:p w14:paraId="4C679DAC" w14:textId="77777777" w:rsidR="00C211C4" w:rsidRPr="00984185" w:rsidRDefault="00C211C4" w:rsidP="00C211C4">
      <w:pPr>
        <w:pStyle w:val="NoSpacing"/>
        <w:rPr>
          <w:rFonts w:cstheme="minorHAnsi"/>
          <w:sz w:val="16"/>
          <w:szCs w:val="16"/>
        </w:rPr>
      </w:pPr>
    </w:p>
    <w:p w14:paraId="3E18B7DC" w14:textId="77777777" w:rsidR="00C211C4" w:rsidRPr="00BB0B25" w:rsidRDefault="00C211C4" w:rsidP="00C211C4">
      <w:pPr>
        <w:pStyle w:val="NoSpacing"/>
        <w:rPr>
          <w:rFonts w:cstheme="minorHAnsi"/>
        </w:rPr>
      </w:pPr>
      <w:r w:rsidRPr="00101FBD">
        <w:rPr>
          <w:rFonts w:cstheme="minorHAnsi"/>
        </w:rPr>
        <w:t>The other standard humane endpoints (#’s 4-10 as listed above) still apply to these studies.</w:t>
      </w:r>
    </w:p>
    <w:p w14:paraId="0CD03130" w14:textId="55524DBC" w:rsidR="00E373F8" w:rsidRDefault="00E373F8" w:rsidP="002A124C">
      <w:pPr>
        <w:pStyle w:val="NoSpacing"/>
        <w:rPr>
          <w:rFonts w:cstheme="minorHAnsi"/>
        </w:rPr>
      </w:pPr>
    </w:p>
    <w:p w14:paraId="2BAF4E46" w14:textId="77777777" w:rsidR="00C211C4" w:rsidRPr="00C37406" w:rsidRDefault="00C211C4" w:rsidP="00C211C4">
      <w:pPr>
        <w:pStyle w:val="Heading2"/>
      </w:pPr>
      <w:r w:rsidRPr="002D1FDC">
        <w:t xml:space="preserve">Monitoring for </w:t>
      </w:r>
      <w:r>
        <w:t>M</w:t>
      </w:r>
      <w:r w:rsidRPr="002D1FDC">
        <w:t xml:space="preserve">ice with </w:t>
      </w:r>
      <w:r>
        <w:t>E</w:t>
      </w:r>
      <w:r w:rsidRPr="002D1FDC">
        <w:t xml:space="preserve">xtended </w:t>
      </w:r>
      <w:r>
        <w:t>T</w:t>
      </w:r>
      <w:r w:rsidRPr="002D1FDC">
        <w:t xml:space="preserve">umor </w:t>
      </w:r>
      <w:r>
        <w:t>E</w:t>
      </w:r>
      <w:r w:rsidRPr="002D1FDC">
        <w:t>ndpoints</w:t>
      </w:r>
    </w:p>
    <w:p w14:paraId="7F5AA852" w14:textId="77777777" w:rsidR="00C211C4" w:rsidRPr="00101FBD" w:rsidRDefault="00C211C4" w:rsidP="00C211C4">
      <w:pPr>
        <w:pStyle w:val="NoSpacing"/>
        <w:rPr>
          <w:rFonts w:cstheme="minorHAnsi"/>
        </w:rPr>
      </w:pPr>
      <w:r w:rsidRPr="00101FBD">
        <w:rPr>
          <w:rFonts w:cstheme="minorHAnsi"/>
        </w:rPr>
        <w:t>Increased monitoring</w:t>
      </w:r>
      <w:r>
        <w:rPr>
          <w:rFonts w:cstheme="minorHAnsi"/>
        </w:rPr>
        <w:t xml:space="preserve"> should begin</w:t>
      </w:r>
      <w:r w:rsidRPr="00101FBD">
        <w:rPr>
          <w:rFonts w:cstheme="minorHAnsi"/>
        </w:rPr>
        <w:t xml:space="preserve"> </w:t>
      </w:r>
      <w:r>
        <w:rPr>
          <w:rFonts w:cstheme="minorHAnsi"/>
        </w:rPr>
        <w:t xml:space="preserve">when </w:t>
      </w:r>
      <w:r w:rsidRPr="00101FBD">
        <w:rPr>
          <w:rFonts w:cstheme="minorHAnsi"/>
        </w:rPr>
        <w:t>tumors reach 1 cm</w:t>
      </w:r>
      <w:r w:rsidRPr="00101FBD">
        <w:rPr>
          <w:rFonts w:cstheme="minorHAnsi"/>
          <w:vertAlign w:val="superscript"/>
        </w:rPr>
        <w:t>3</w:t>
      </w:r>
      <w:r w:rsidRPr="00101FBD">
        <w:rPr>
          <w:rFonts w:cstheme="minorHAnsi"/>
        </w:rPr>
        <w:t>, are greater than 1.5 cm in diameter in one direction, and/or when necrosis and/or ulceration develops</w:t>
      </w:r>
      <w:r>
        <w:rPr>
          <w:rFonts w:cstheme="minorHAnsi"/>
        </w:rPr>
        <w:t xml:space="preserve">. Recommended monitoring includes: </w:t>
      </w:r>
      <w:r w:rsidRPr="00101FBD">
        <w:rPr>
          <w:rFonts w:cstheme="minorHAnsi"/>
        </w:rPr>
        <w:t xml:space="preserve"> </w:t>
      </w:r>
    </w:p>
    <w:p w14:paraId="53F84A46" w14:textId="77777777" w:rsidR="00C211C4" w:rsidRPr="00101FBD" w:rsidRDefault="00C211C4" w:rsidP="00C211C4">
      <w:pPr>
        <w:pStyle w:val="NoSpacing"/>
        <w:numPr>
          <w:ilvl w:val="0"/>
          <w:numId w:val="6"/>
        </w:numPr>
        <w:rPr>
          <w:rFonts w:cstheme="minorHAnsi"/>
        </w:rPr>
      </w:pPr>
      <w:r w:rsidRPr="00101FBD">
        <w:rPr>
          <w:rFonts w:cstheme="minorHAnsi"/>
        </w:rPr>
        <w:t>Daily assessment</w:t>
      </w:r>
      <w:r>
        <w:rPr>
          <w:rFonts w:cstheme="minorHAnsi"/>
        </w:rPr>
        <w:t>,</w:t>
      </w:r>
      <w:r w:rsidRPr="00101FBD">
        <w:rPr>
          <w:rFonts w:cstheme="minorHAnsi"/>
        </w:rPr>
        <w:t xml:space="preserve"> including weekends/holidays</w:t>
      </w:r>
    </w:p>
    <w:p w14:paraId="77463C43" w14:textId="77777777" w:rsidR="00C211C4" w:rsidRPr="00101FBD" w:rsidRDefault="00C211C4" w:rsidP="00C211C4">
      <w:pPr>
        <w:pStyle w:val="NoSpacing"/>
        <w:numPr>
          <w:ilvl w:val="0"/>
          <w:numId w:val="6"/>
        </w:numPr>
        <w:rPr>
          <w:rFonts w:cstheme="minorHAnsi"/>
        </w:rPr>
      </w:pPr>
      <w:r w:rsidRPr="00101FBD">
        <w:rPr>
          <w:rFonts w:cstheme="minorHAnsi"/>
        </w:rPr>
        <w:t>Weighing at least 3x per week.</w:t>
      </w:r>
    </w:p>
    <w:p w14:paraId="5C82D890" w14:textId="0F454FA7" w:rsidR="00C211C4" w:rsidRDefault="00C211C4" w:rsidP="00C211C4">
      <w:pPr>
        <w:pStyle w:val="NoSpacing"/>
        <w:numPr>
          <w:ilvl w:val="0"/>
          <w:numId w:val="6"/>
        </w:numPr>
        <w:rPr>
          <w:rFonts w:cstheme="minorHAnsi"/>
        </w:rPr>
      </w:pPr>
      <w:r w:rsidRPr="00101FBD">
        <w:rPr>
          <w:rFonts w:cstheme="minorHAnsi"/>
        </w:rPr>
        <w:t xml:space="preserve">Tumor measurement at least 3x per week. </w:t>
      </w:r>
    </w:p>
    <w:p w14:paraId="710D7A7A" w14:textId="77777777" w:rsidR="00F50575" w:rsidRPr="00101FBD" w:rsidRDefault="00F50575" w:rsidP="00F50575">
      <w:pPr>
        <w:pStyle w:val="NoSpacing"/>
        <w:ind w:left="720"/>
        <w:rPr>
          <w:rFonts w:cstheme="minorHAnsi"/>
        </w:rPr>
      </w:pPr>
    </w:p>
    <w:p w14:paraId="362D4B3C" w14:textId="77777777" w:rsidR="00C211C4" w:rsidRPr="00C37406" w:rsidRDefault="00C211C4" w:rsidP="00C211C4">
      <w:pPr>
        <w:pStyle w:val="Heading2"/>
      </w:pPr>
      <w:r w:rsidRPr="006610E3">
        <w:t>Formulas for the Determination of Tumor Size</w:t>
      </w:r>
    </w:p>
    <w:p w14:paraId="02AC1E48" w14:textId="77777777" w:rsidR="00C211C4" w:rsidRPr="00101FBD" w:rsidRDefault="00C211C4" w:rsidP="00C211C4">
      <w:pPr>
        <w:tabs>
          <w:tab w:val="left" w:pos="-720"/>
          <w:tab w:val="left" w:pos="-270"/>
        </w:tabs>
        <w:suppressAutoHyphens/>
        <w:spacing w:after="0" w:line="240" w:lineRule="auto"/>
        <w:rPr>
          <w:rFonts w:cstheme="minorHAnsi"/>
        </w:rPr>
      </w:pPr>
      <w:r w:rsidRPr="00101FBD">
        <w:rPr>
          <w:rFonts w:cstheme="minorHAnsi"/>
        </w:rPr>
        <w:t xml:space="preserve">Tumor volume is calculated using tumor measurements, utilizing one to three measured dimensions. Any of these formulas can be used. Other formulas require specific description in the protocol. </w:t>
      </w:r>
    </w:p>
    <w:p w14:paraId="20126FB3" w14:textId="19A0A33C" w:rsidR="00C211C4" w:rsidRPr="00101FBD" w:rsidRDefault="00C211C4" w:rsidP="00C211C4">
      <w:pPr>
        <w:pStyle w:val="NoSpacing"/>
        <w:numPr>
          <w:ilvl w:val="0"/>
          <w:numId w:val="10"/>
        </w:numPr>
        <w:spacing w:line="276" w:lineRule="auto"/>
        <w:rPr>
          <w:rFonts w:cstheme="minorHAnsi"/>
        </w:rPr>
      </w:pPr>
      <w:r w:rsidRPr="00101FBD">
        <w:rPr>
          <w:rStyle w:val="Emphasis"/>
          <w:rFonts w:cstheme="minorHAnsi"/>
          <w:color w:val="000000"/>
          <w:shd w:val="clear" w:color="auto" w:fill="FFFFFF"/>
        </w:rPr>
        <w:t xml:space="preserve">Tumor </w:t>
      </w:r>
      <w:proofErr w:type="gramStart"/>
      <w:r w:rsidRPr="00101FBD">
        <w:rPr>
          <w:rStyle w:val="Emphasis"/>
          <w:rFonts w:cstheme="minorHAnsi"/>
          <w:color w:val="000000"/>
          <w:shd w:val="clear" w:color="auto" w:fill="FFFFFF"/>
        </w:rPr>
        <w:t xml:space="preserve">volume </w:t>
      </w:r>
      <w:r w:rsidR="00C47ECF">
        <w:rPr>
          <w:rStyle w:val="Emphasis"/>
          <w:rFonts w:cstheme="minorHAnsi"/>
          <w:color w:val="000000"/>
          <w:shd w:val="clear" w:color="auto" w:fill="FFFFFF"/>
        </w:rPr>
        <w:t xml:space="preserve"> </w:t>
      </w:r>
      <w:r w:rsidRPr="00101FBD">
        <w:rPr>
          <w:rFonts w:cstheme="minorHAnsi"/>
        </w:rPr>
        <w:t>=</w:t>
      </w:r>
      <w:proofErr w:type="gramEnd"/>
      <w:r w:rsidRPr="00101FBD">
        <w:rPr>
          <w:rFonts w:cstheme="minorHAnsi"/>
        </w:rPr>
        <w:t xml:space="preserve"> ½ (length x width x height)</w:t>
      </w:r>
    </w:p>
    <w:p w14:paraId="7E53DAB3" w14:textId="77777777" w:rsidR="00C211C4" w:rsidRPr="00101FBD" w:rsidRDefault="00C211C4" w:rsidP="00C211C4">
      <w:pPr>
        <w:pStyle w:val="NoSpacing"/>
        <w:numPr>
          <w:ilvl w:val="0"/>
          <w:numId w:val="10"/>
        </w:numPr>
        <w:spacing w:line="276" w:lineRule="auto"/>
        <w:rPr>
          <w:rFonts w:cstheme="minorHAnsi"/>
        </w:rPr>
      </w:pPr>
      <w:r w:rsidRPr="00101FBD">
        <w:rPr>
          <w:rFonts w:cstheme="minorHAnsi"/>
        </w:rPr>
        <w:t xml:space="preserve">Tumor </w:t>
      </w:r>
      <w:proofErr w:type="gramStart"/>
      <w:r w:rsidRPr="00101FBD">
        <w:rPr>
          <w:rFonts w:cstheme="minorHAnsi"/>
        </w:rPr>
        <w:t>volume  =</w:t>
      </w:r>
      <w:proofErr w:type="gramEnd"/>
      <w:r w:rsidRPr="00101FBD">
        <w:rPr>
          <w:rFonts w:cstheme="minorHAnsi"/>
        </w:rPr>
        <w:t xml:space="preserve"> ½ (length × width</w:t>
      </w:r>
      <w:r w:rsidRPr="00101FBD">
        <w:rPr>
          <w:rFonts w:cstheme="minorHAnsi"/>
          <w:vertAlign w:val="superscript"/>
        </w:rPr>
        <w:t>2</w:t>
      </w:r>
      <w:r w:rsidRPr="00101FBD">
        <w:rPr>
          <w:rFonts w:cstheme="minorHAnsi"/>
        </w:rPr>
        <w:t xml:space="preserve">)  </w:t>
      </w:r>
    </w:p>
    <w:p w14:paraId="71FA1077" w14:textId="77777777" w:rsidR="00C211C4" w:rsidRPr="00101FBD" w:rsidRDefault="00C211C4" w:rsidP="00C211C4">
      <w:pPr>
        <w:pStyle w:val="NoSpacing"/>
        <w:numPr>
          <w:ilvl w:val="0"/>
          <w:numId w:val="10"/>
        </w:numPr>
        <w:spacing w:line="276" w:lineRule="auto"/>
        <w:rPr>
          <w:rFonts w:cstheme="minorHAnsi"/>
        </w:rPr>
      </w:pPr>
      <w:r w:rsidRPr="00101FBD">
        <w:rPr>
          <w:rFonts w:cstheme="minorHAnsi"/>
        </w:rPr>
        <w:t>Tumor volume = ½ (diameter</w:t>
      </w:r>
      <w:r w:rsidRPr="00101FBD">
        <w:rPr>
          <w:rFonts w:cstheme="minorHAnsi"/>
          <w:vertAlign w:val="superscript"/>
        </w:rPr>
        <w:t>3</w:t>
      </w:r>
      <w:r w:rsidRPr="00101FBD">
        <w:rPr>
          <w:rFonts w:cstheme="minorHAnsi"/>
        </w:rPr>
        <w:t>)</w:t>
      </w:r>
    </w:p>
    <w:p w14:paraId="2156A6C9" w14:textId="77777777" w:rsidR="00C211C4" w:rsidRPr="00984185" w:rsidRDefault="00C211C4" w:rsidP="00C211C4">
      <w:pPr>
        <w:pStyle w:val="NoSpacing"/>
        <w:ind w:left="720"/>
        <w:rPr>
          <w:rFonts w:cstheme="minorHAnsi"/>
          <w:sz w:val="16"/>
          <w:szCs w:val="16"/>
        </w:rPr>
      </w:pPr>
    </w:p>
    <w:p w14:paraId="144922BF" w14:textId="77777777" w:rsidR="00C211C4" w:rsidRPr="00101FBD" w:rsidRDefault="00C211C4" w:rsidP="00C211C4">
      <w:pPr>
        <w:tabs>
          <w:tab w:val="left" w:pos="-720"/>
          <w:tab w:val="left" w:pos="-270"/>
        </w:tabs>
        <w:suppressAutoHyphens/>
        <w:spacing w:after="0" w:line="240" w:lineRule="auto"/>
        <w:rPr>
          <w:rFonts w:cstheme="minorHAnsi"/>
        </w:rPr>
      </w:pPr>
      <w:r w:rsidRPr="00101FBD">
        <w:rPr>
          <w:rFonts w:cstheme="minorHAnsi"/>
        </w:rPr>
        <w:t xml:space="preserve">The humane endpoints for tumor burden recommended below are </w:t>
      </w:r>
      <w:r w:rsidRPr="00101FBD">
        <w:rPr>
          <w:rFonts w:cstheme="minorHAnsi"/>
          <w:i/>
        </w:rPr>
        <w:t>cumulative</w:t>
      </w:r>
      <w:r w:rsidRPr="00101FBD">
        <w:rPr>
          <w:rFonts w:cstheme="minorHAnsi"/>
        </w:rPr>
        <w:t>.  For example, if a mouse has two tumors with diameters of 0.75 cm and 1 cm respectively:</w:t>
      </w:r>
    </w:p>
    <w:p w14:paraId="54C6B5EE" w14:textId="77777777" w:rsidR="00C211C4" w:rsidRPr="00984185" w:rsidRDefault="00C211C4" w:rsidP="00C211C4">
      <w:pPr>
        <w:tabs>
          <w:tab w:val="left" w:pos="-720"/>
          <w:tab w:val="left" w:pos="-270"/>
        </w:tabs>
        <w:suppressAutoHyphens/>
        <w:spacing w:after="0" w:line="240" w:lineRule="auto"/>
        <w:rPr>
          <w:rFonts w:cstheme="minorHAnsi"/>
          <w:sz w:val="4"/>
          <w:szCs w:val="4"/>
        </w:rPr>
      </w:pPr>
    </w:p>
    <w:p w14:paraId="663E3C4E" w14:textId="77777777" w:rsidR="00C211C4" w:rsidRPr="00101FBD" w:rsidRDefault="00C211C4" w:rsidP="00C211C4">
      <w:pPr>
        <w:pStyle w:val="NoSpacing"/>
        <w:numPr>
          <w:ilvl w:val="0"/>
          <w:numId w:val="11"/>
        </w:numPr>
        <w:spacing w:line="276" w:lineRule="auto"/>
        <w:ind w:left="540" w:hanging="180"/>
        <w:rPr>
          <w:rFonts w:cstheme="minorHAnsi"/>
        </w:rPr>
      </w:pPr>
      <w:r w:rsidRPr="00101FBD">
        <w:rPr>
          <w:rFonts w:cstheme="minorHAnsi"/>
        </w:rPr>
        <w:t>Tumor 1:  = ½ (diameter</w:t>
      </w:r>
      <w:r w:rsidRPr="00101FBD">
        <w:rPr>
          <w:rFonts w:cstheme="minorHAnsi"/>
          <w:vertAlign w:val="superscript"/>
        </w:rPr>
        <w:t>3</w:t>
      </w:r>
      <w:r w:rsidRPr="00101FBD">
        <w:rPr>
          <w:rFonts w:cstheme="minorHAnsi"/>
        </w:rPr>
        <w:t>) = ½ (0.75cm</w:t>
      </w:r>
      <w:r w:rsidRPr="00101FBD">
        <w:rPr>
          <w:rFonts w:cstheme="minorHAnsi"/>
          <w:vertAlign w:val="superscript"/>
        </w:rPr>
        <w:t>3</w:t>
      </w:r>
      <w:r w:rsidRPr="00101FBD">
        <w:rPr>
          <w:rFonts w:cstheme="minorHAnsi"/>
        </w:rPr>
        <w:t>) = 0.21 cm</w:t>
      </w:r>
      <w:r w:rsidRPr="00101FBD">
        <w:rPr>
          <w:rFonts w:cstheme="minorHAnsi"/>
          <w:vertAlign w:val="superscript"/>
        </w:rPr>
        <w:t>3</w:t>
      </w:r>
    </w:p>
    <w:p w14:paraId="7C9C7C29" w14:textId="77777777" w:rsidR="00C211C4" w:rsidRPr="00101FBD" w:rsidRDefault="00C211C4" w:rsidP="00C211C4">
      <w:pPr>
        <w:pStyle w:val="NoSpacing"/>
        <w:numPr>
          <w:ilvl w:val="0"/>
          <w:numId w:val="11"/>
        </w:numPr>
        <w:spacing w:line="276" w:lineRule="auto"/>
        <w:ind w:left="540" w:hanging="180"/>
        <w:rPr>
          <w:rFonts w:cstheme="minorHAnsi"/>
        </w:rPr>
      </w:pPr>
      <w:r w:rsidRPr="00101FBD">
        <w:rPr>
          <w:rFonts w:cstheme="minorHAnsi"/>
        </w:rPr>
        <w:t>Tumor 2:  = ½ (diameter</w:t>
      </w:r>
      <w:r w:rsidRPr="00101FBD">
        <w:rPr>
          <w:rFonts w:cstheme="minorHAnsi"/>
          <w:vertAlign w:val="superscript"/>
        </w:rPr>
        <w:t>3</w:t>
      </w:r>
      <w:r w:rsidRPr="00101FBD">
        <w:rPr>
          <w:rFonts w:cstheme="minorHAnsi"/>
        </w:rPr>
        <w:t>) = ½ (1.0cm</w:t>
      </w:r>
      <w:r w:rsidRPr="00101FBD">
        <w:rPr>
          <w:rFonts w:cstheme="minorHAnsi"/>
          <w:vertAlign w:val="superscript"/>
        </w:rPr>
        <w:t>3</w:t>
      </w:r>
      <w:r w:rsidRPr="00101FBD">
        <w:rPr>
          <w:rFonts w:cstheme="minorHAnsi"/>
        </w:rPr>
        <w:t>) = 0.5 cm</w:t>
      </w:r>
      <w:r w:rsidRPr="00101FBD">
        <w:rPr>
          <w:rFonts w:cstheme="minorHAnsi"/>
          <w:vertAlign w:val="superscript"/>
        </w:rPr>
        <w:t>3</w:t>
      </w:r>
    </w:p>
    <w:p w14:paraId="1A542C74" w14:textId="77777777" w:rsidR="00C211C4" w:rsidRPr="00984185" w:rsidRDefault="00C211C4" w:rsidP="00C211C4">
      <w:pPr>
        <w:pStyle w:val="NoSpacing"/>
        <w:ind w:left="720"/>
        <w:rPr>
          <w:rFonts w:cstheme="minorHAnsi"/>
          <w:sz w:val="14"/>
          <w:szCs w:val="14"/>
        </w:rPr>
      </w:pPr>
    </w:p>
    <w:p w14:paraId="2A3A25D9" w14:textId="77777777" w:rsidR="00C211C4" w:rsidRPr="00101FBD" w:rsidRDefault="00C211C4" w:rsidP="00C211C4">
      <w:pPr>
        <w:pStyle w:val="NoSpacing"/>
        <w:rPr>
          <w:rFonts w:cstheme="minorHAnsi"/>
        </w:rPr>
      </w:pPr>
      <w:r w:rsidRPr="00101FBD">
        <w:rPr>
          <w:rFonts w:cstheme="minorHAnsi"/>
        </w:rPr>
        <w:t xml:space="preserve">       Cumulative tumor burden </w:t>
      </w:r>
      <w:proofErr w:type="gramStart"/>
      <w:r w:rsidRPr="00101FBD">
        <w:rPr>
          <w:rFonts w:cstheme="minorHAnsi"/>
        </w:rPr>
        <w:t>=  0.21</w:t>
      </w:r>
      <w:proofErr w:type="gramEnd"/>
      <w:r w:rsidRPr="00101FBD">
        <w:rPr>
          <w:rFonts w:cstheme="minorHAnsi"/>
        </w:rPr>
        <w:t xml:space="preserve"> cm</w:t>
      </w:r>
      <w:r w:rsidRPr="00101FBD">
        <w:rPr>
          <w:rFonts w:cstheme="minorHAnsi"/>
          <w:vertAlign w:val="superscript"/>
        </w:rPr>
        <w:t>3</w:t>
      </w:r>
      <w:r w:rsidRPr="00101FBD">
        <w:rPr>
          <w:rFonts w:cstheme="minorHAnsi"/>
        </w:rPr>
        <w:t xml:space="preserve"> + 0.5 cm</w:t>
      </w:r>
      <w:r w:rsidRPr="00101FBD">
        <w:rPr>
          <w:rFonts w:cstheme="minorHAnsi"/>
          <w:vertAlign w:val="superscript"/>
        </w:rPr>
        <w:t>3</w:t>
      </w:r>
      <w:r w:rsidRPr="00101FBD">
        <w:rPr>
          <w:rFonts w:cstheme="minorHAnsi"/>
        </w:rPr>
        <w:t xml:space="preserve"> = 0.71 cm</w:t>
      </w:r>
      <w:r w:rsidRPr="00101FBD">
        <w:rPr>
          <w:rFonts w:cstheme="minorHAnsi"/>
          <w:vertAlign w:val="superscript"/>
        </w:rPr>
        <w:t xml:space="preserve">3 </w:t>
      </w:r>
    </w:p>
    <w:p w14:paraId="13CAC928" w14:textId="77777777" w:rsidR="00C211C4" w:rsidRDefault="00C211C4" w:rsidP="00C211C4">
      <w:pPr>
        <w:pStyle w:val="Heading3"/>
        <w:rPr>
          <w:b/>
        </w:rPr>
      </w:pPr>
    </w:p>
    <w:p w14:paraId="6593B668" w14:textId="77777777" w:rsidR="00C211C4" w:rsidRPr="00C37406" w:rsidRDefault="00C211C4" w:rsidP="00C211C4">
      <w:pPr>
        <w:pStyle w:val="Heading2"/>
      </w:pPr>
      <w:r w:rsidRPr="00663421">
        <w:t xml:space="preserve">Formulas for the Determination of Body </w:t>
      </w:r>
      <w:r>
        <w:t>W</w:t>
      </w:r>
      <w:r w:rsidRPr="00663421">
        <w:t xml:space="preserve">eight </w:t>
      </w:r>
      <w:r>
        <w:t>L</w:t>
      </w:r>
      <w:r w:rsidRPr="00663421">
        <w:t xml:space="preserve">oss </w:t>
      </w:r>
      <w:r>
        <w:t>E</w:t>
      </w:r>
      <w:r w:rsidRPr="00663421">
        <w:t xml:space="preserve">xcluding </w:t>
      </w:r>
      <w:r>
        <w:t>T</w:t>
      </w:r>
      <w:r w:rsidRPr="00663421">
        <w:t xml:space="preserve">umor </w:t>
      </w:r>
      <w:r>
        <w:t>W</w:t>
      </w:r>
      <w:r w:rsidRPr="00663421">
        <w:t>eight</w:t>
      </w:r>
    </w:p>
    <w:p w14:paraId="6EC99A6E" w14:textId="77777777" w:rsidR="00C211C4" w:rsidRPr="00101FBD" w:rsidRDefault="00C211C4" w:rsidP="00C211C4">
      <w:pPr>
        <w:spacing w:after="0" w:line="240" w:lineRule="auto"/>
        <w:rPr>
          <w:rFonts w:cstheme="minorHAnsi"/>
        </w:rPr>
      </w:pPr>
      <w:r w:rsidRPr="00101FBD">
        <w:rPr>
          <w:rFonts w:cstheme="minorHAnsi"/>
        </w:rPr>
        <w:t xml:space="preserve">Body weight loss is determined by using the current body weight and the baseline body weight. Given that tumors will increase body weight of the animal, the weight of the tumor should be excluded from this calculation. </w:t>
      </w:r>
    </w:p>
    <w:p w14:paraId="47366852" w14:textId="77777777" w:rsidR="00C211C4" w:rsidRPr="00984185" w:rsidRDefault="00C211C4" w:rsidP="00C211C4">
      <w:pPr>
        <w:spacing w:after="0" w:line="240" w:lineRule="auto"/>
        <w:rPr>
          <w:rFonts w:cstheme="minorHAnsi"/>
          <w:sz w:val="16"/>
          <w:szCs w:val="16"/>
        </w:rPr>
      </w:pPr>
    </w:p>
    <w:p w14:paraId="0D4CDD18" w14:textId="77777777" w:rsidR="00C211C4" w:rsidRPr="00101FBD" w:rsidRDefault="00C211C4" w:rsidP="00C211C4">
      <w:pPr>
        <w:spacing w:after="0" w:line="240" w:lineRule="auto"/>
        <w:rPr>
          <w:rFonts w:cstheme="minorHAnsi"/>
        </w:rPr>
      </w:pPr>
      <w:r w:rsidRPr="00101FBD">
        <w:rPr>
          <w:rFonts w:cstheme="minorHAnsi"/>
        </w:rPr>
        <w:t>Tumor weight is determined by assuming each 1 cm</w:t>
      </w:r>
      <w:r w:rsidRPr="00101FBD">
        <w:rPr>
          <w:rFonts w:cstheme="minorHAnsi"/>
          <w:vertAlign w:val="superscript"/>
        </w:rPr>
        <w:t xml:space="preserve">3 </w:t>
      </w:r>
      <w:r w:rsidRPr="00101FBD">
        <w:rPr>
          <w:rFonts w:cstheme="minorHAnsi"/>
        </w:rPr>
        <w:t>of tumor weighs 1g. For example, a 0.75cm</w:t>
      </w:r>
      <w:r w:rsidRPr="00101FBD">
        <w:rPr>
          <w:rFonts w:cstheme="minorHAnsi"/>
          <w:vertAlign w:val="superscript"/>
        </w:rPr>
        <w:t>3</w:t>
      </w:r>
      <w:r w:rsidRPr="00101FBD">
        <w:rPr>
          <w:rFonts w:cstheme="minorHAnsi"/>
        </w:rPr>
        <w:t xml:space="preserve"> tumor weighs 0.75g. </w:t>
      </w:r>
      <w:r>
        <w:rPr>
          <w:rFonts w:cstheme="minorHAnsi"/>
        </w:rPr>
        <w:t xml:space="preserve"> </w:t>
      </w:r>
    </w:p>
    <w:p w14:paraId="58CAAA40" w14:textId="77777777" w:rsidR="00C211C4" w:rsidRPr="00984185" w:rsidRDefault="00C211C4" w:rsidP="00C211C4">
      <w:pPr>
        <w:spacing w:after="0" w:line="240" w:lineRule="auto"/>
        <w:rPr>
          <w:rFonts w:cstheme="minorHAnsi"/>
          <w:sz w:val="16"/>
          <w:szCs w:val="16"/>
        </w:rPr>
      </w:pPr>
    </w:p>
    <w:p w14:paraId="71F22C7E" w14:textId="77777777" w:rsidR="00C211C4" w:rsidRPr="00101FBD" w:rsidRDefault="00C211C4" w:rsidP="00C211C4">
      <w:pPr>
        <w:spacing w:after="0" w:line="240" w:lineRule="auto"/>
        <w:rPr>
          <w:rFonts w:cstheme="minorHAnsi"/>
        </w:rPr>
      </w:pPr>
      <w:r w:rsidRPr="00101FBD">
        <w:rPr>
          <w:rFonts w:cstheme="minorHAnsi"/>
        </w:rPr>
        <w:t>The formula for body weight loss excluding tumor weight is as follows:</w:t>
      </w:r>
    </w:p>
    <w:p w14:paraId="72A1D668" w14:textId="77777777" w:rsidR="00C211C4" w:rsidRPr="00984185" w:rsidRDefault="00C211C4" w:rsidP="00C211C4">
      <w:pPr>
        <w:spacing w:after="0" w:line="240" w:lineRule="auto"/>
        <w:rPr>
          <w:rFonts w:cstheme="minorHAnsi"/>
          <w:sz w:val="10"/>
          <w:szCs w:val="10"/>
        </w:rPr>
      </w:pPr>
      <w:r w:rsidRPr="00101FBD">
        <w:rPr>
          <w:rFonts w:cstheme="minorHAnsi"/>
        </w:rPr>
        <w:t xml:space="preserve"> </w:t>
      </w:r>
    </w:p>
    <w:p w14:paraId="45AB3EB4" w14:textId="77777777" w:rsidR="00C211C4" w:rsidRPr="00101FBD" w:rsidRDefault="00C211C4" w:rsidP="00C211C4">
      <w:pPr>
        <w:spacing w:after="0" w:line="240" w:lineRule="auto"/>
        <w:rPr>
          <w:rFonts w:cstheme="minorHAnsi"/>
        </w:rPr>
      </w:pPr>
      <w:r w:rsidRPr="00101FBD">
        <w:rPr>
          <w:rFonts w:cstheme="minorHAnsi"/>
          <w:noProof/>
        </w:rPr>
        <w:drawing>
          <wp:inline distT="0" distB="0" distL="0" distR="0" wp14:anchorId="4543F0A8" wp14:editId="5A742FD3">
            <wp:extent cx="3476625" cy="454414"/>
            <wp:effectExtent l="0" t="0" r="0" b="317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9"/>
                    <a:srcRect l="1603" t="25926" r="18430" b="56125"/>
                    <a:stretch/>
                  </pic:blipFill>
                  <pic:spPr bwMode="auto">
                    <a:xfrm>
                      <a:off x="0" y="0"/>
                      <a:ext cx="3586738" cy="468806"/>
                    </a:xfrm>
                    <a:prstGeom prst="rect">
                      <a:avLst/>
                    </a:prstGeom>
                    <a:ln>
                      <a:noFill/>
                    </a:ln>
                    <a:extLst>
                      <a:ext uri="{53640926-AAD7-44D8-BBD7-CCE9431645EC}">
                        <a14:shadowObscured xmlns:a14="http://schemas.microsoft.com/office/drawing/2010/main"/>
                      </a:ext>
                    </a:extLst>
                  </pic:spPr>
                </pic:pic>
              </a:graphicData>
            </a:graphic>
          </wp:inline>
        </w:drawing>
      </w:r>
    </w:p>
    <w:p w14:paraId="55916105" w14:textId="77777777" w:rsidR="00C211C4" w:rsidRDefault="00C211C4" w:rsidP="00C211C4"/>
    <w:p w14:paraId="3B1A354B" w14:textId="77777777" w:rsidR="00177F98" w:rsidRPr="00C37406" w:rsidRDefault="00177F98" w:rsidP="00177F98">
      <w:pPr>
        <w:pStyle w:val="Heading2"/>
      </w:pPr>
      <w:r w:rsidRPr="00031BE3">
        <w:t xml:space="preserve">Special </w:t>
      </w:r>
      <w:r>
        <w:t>C</w:t>
      </w:r>
      <w:r w:rsidRPr="00031BE3">
        <w:t xml:space="preserve">onsideration for </w:t>
      </w:r>
      <w:r>
        <w:t>E</w:t>
      </w:r>
      <w:r w:rsidRPr="00031BE3">
        <w:t xml:space="preserve">uthanasia </w:t>
      </w:r>
      <w:r>
        <w:t>E</w:t>
      </w:r>
      <w:r w:rsidRPr="00031BE3">
        <w:t xml:space="preserve">ndpoints of Pulmonary Metastasis </w:t>
      </w:r>
      <w:r>
        <w:t>S</w:t>
      </w:r>
      <w:r w:rsidRPr="00031BE3">
        <w:t>tudies</w:t>
      </w:r>
    </w:p>
    <w:p w14:paraId="777B5C21" w14:textId="77777777" w:rsidR="00177F98" w:rsidRPr="00101FBD" w:rsidRDefault="00177F98" w:rsidP="00177F98">
      <w:pPr>
        <w:pStyle w:val="NoSpacing"/>
        <w:rPr>
          <w:rFonts w:cstheme="minorHAnsi"/>
        </w:rPr>
      </w:pPr>
      <w:r w:rsidRPr="00101FBD">
        <w:rPr>
          <w:rFonts w:cstheme="minorHAnsi"/>
        </w:rPr>
        <w:t xml:space="preserve">Tumor burden in the lungs is difficult to assess without advanced imaging or molecular assays. Euthanasia endpoints of studies expecting pulmonary metastasis should include the endpoints previously described AND the non-invasive Pulmonary Assessment of Advance Metastasis (PAAM) test. Significant pulmonary tumor burden will reduce respiratory capacity and results in a positive PAAM test. </w:t>
      </w:r>
      <w:r w:rsidRPr="00101FBD">
        <w:rPr>
          <w:rFonts w:cstheme="minorHAnsi"/>
        </w:rPr>
        <w:fldChar w:fldCharType="begin" w:fldLock="1"/>
      </w:r>
      <w:r w:rsidRPr="00101FBD">
        <w:rPr>
          <w:rFonts w:cstheme="minorHAnsi"/>
        </w:rPr>
        <w:instrText>ADDIN CSL_CITATION {"citationItems":[{"id":"ITEM-1","itemData":{"ISSN":"15596109","abstract":"Metastasis remains the most significant problem in the field of cancer. The biologic complexity that characterizes metastasis requires relevant in vivo models. When using murine models for pulmonary metastasis, longitudinal studies are valuable for following the progression of metastatic burden. Currently, the progression of pulmonary metastatic burden in experimental mice over time is monitored through advanced imaging approaches or the clinical assessment of morbidity. Because clinical signs of morbidity are often vague and unpredictable, an inexpensive and reproducible method to detect advanced metastatic burden-before the development of mortality-is needed. We have developed a noninvasive technique for assessing pulmonary metastatic burden in laboratory mice. The pulmonary assessment of advanced metastasis (PAAM) test is performed by restraining an awake mouse and gently applying pressure with the index finger under the xiphoid process. This pressure reduces the diaphragmatic component to respiration. Mice with advanced lung metastases show transient signs of respiratory distress within 3 s of the application of this pressure. Using PAAM in 4 distinct models (including sarcoma and mammary carcinoma histologies) of experimental (tail vein) pulmonary metastasis (n = 114 mice), among 3 independent evaluators yielded 94% positive and negative predictive values, which were validated by histologic assessment of postmortem lung tissue. PAAM is a simple, reproducible, and efficient method to assist in the detection of advanced pulmonary metastasis in mice and contributes to their humane care during longitudinal studies.","author":[{"dropping-particle":"","family":"Mendoza","given":"Arnulfo","non-dropping-particle":"","parse-names":false,"suffix":""},{"dropping-particle":"","family":"Gharpure","given":"Radhika","non-dropping-particle":"","parse-names":false,"suffix":""},{"dropping-particle":"","family":"Dennis","given":"John","non-dropping-particle":"","parse-names":false,"suffix":""},{"dropping-particle":"","family":"Webster","given":"Joshua D.","non-dropping-particle":"","parse-names":false,"suffix":""},{"dropping-particle":"","family":"Smedley","given":"Jeremy","non-dropping-particle":"","parse-names":false,"suffix":""},{"dropping-particle":"","family":"Khanna","given":"Chand","non-dropping-particle":"","parse-names":false,"suffix":""}],"container-title":"Journal of the American Association for Laboratory Animal Science","id":"ITEM-1","issue":"5","issued":{"date-parts":[["2013"]]},"page":"584-589","title":"A novel noninvasive method for evaluating experimental lung metastasis in mice","type":"article-journal","volume":"52"},"uris":["http://www.mendeley.com/documents/?uuid=9096e8e3-f25b-47cc-99db-80d5188fc94e"]}],"mendeley":{"formattedCitation":"(Mendoza et al., 2013)","plainTextFormattedCitation":"(Mendoza et al., 2013)"},"properties":{"noteIndex":0},"schema":"https://github.com/citation-style-language/schema/raw/master/csl-citation.json"}</w:instrText>
      </w:r>
      <w:r w:rsidRPr="00101FBD">
        <w:rPr>
          <w:rFonts w:cstheme="minorHAnsi"/>
        </w:rPr>
        <w:fldChar w:fldCharType="separate"/>
      </w:r>
      <w:r w:rsidRPr="00101FBD">
        <w:rPr>
          <w:rFonts w:cstheme="minorHAnsi"/>
          <w:noProof/>
        </w:rPr>
        <w:t>(Mendoza et al., 2013)</w:t>
      </w:r>
      <w:r w:rsidRPr="00101FBD">
        <w:rPr>
          <w:rFonts w:cstheme="minorHAnsi"/>
        </w:rPr>
        <w:fldChar w:fldCharType="end"/>
      </w:r>
      <w:r w:rsidRPr="00101FBD">
        <w:rPr>
          <w:rFonts w:cstheme="minorHAnsi"/>
        </w:rPr>
        <w:t>. (See Figure 1 below)</w:t>
      </w:r>
    </w:p>
    <w:p w14:paraId="528A4EAE" w14:textId="77777777" w:rsidR="00177F98" w:rsidRDefault="00177F98" w:rsidP="00177F98">
      <w:r>
        <w:rPr>
          <w:noProof/>
        </w:rPr>
        <w:lastRenderedPageBreak/>
        <w:drawing>
          <wp:inline distT="0" distB="0" distL="0" distR="0" wp14:anchorId="503F0ABC" wp14:editId="1D8BAB0F">
            <wp:extent cx="5608807" cy="273304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a:srcRect l="1122" t="26667" r="62660" b="15898"/>
                    <a:stretch/>
                  </pic:blipFill>
                  <pic:spPr bwMode="auto">
                    <a:xfrm>
                      <a:off x="0" y="0"/>
                      <a:ext cx="5619140" cy="2738075"/>
                    </a:xfrm>
                    <a:prstGeom prst="rect">
                      <a:avLst/>
                    </a:prstGeom>
                    <a:ln>
                      <a:noFill/>
                    </a:ln>
                    <a:extLst>
                      <a:ext uri="{53640926-AAD7-44D8-BBD7-CCE9431645EC}">
                        <a14:shadowObscured xmlns:a14="http://schemas.microsoft.com/office/drawing/2010/main"/>
                      </a:ext>
                    </a:extLst>
                  </pic:spPr>
                </pic:pic>
              </a:graphicData>
            </a:graphic>
          </wp:inline>
        </w:drawing>
      </w:r>
    </w:p>
    <w:p w14:paraId="1EF94A3F" w14:textId="77777777" w:rsidR="00177F98" w:rsidRPr="00101FBD" w:rsidRDefault="00177F98" w:rsidP="00177F98">
      <w:pPr>
        <w:spacing w:after="0" w:line="240" w:lineRule="auto"/>
        <w:rPr>
          <w:rFonts w:cs="Times New Roman"/>
        </w:rPr>
      </w:pPr>
      <w:r w:rsidRPr="00101FBD">
        <w:rPr>
          <w:rFonts w:cs="Times New Roman"/>
        </w:rPr>
        <w:t>Figure 1. (A) Mouse is restrained by using the thumb and forefinger of the nondominant hand, and the ring finger is used to secure tail. The mouse is aligned parallel to the forearm of the evaluator, with the head pulled back slightly. (B) Digital pressure is applied gently just caudal to the xiphoid sternum by using the forefinger of dominant hand. (C) Gentle to moderate pressure is applied for 3 s. In normal mice or mice without advanced pulmonary metastasis, this digital pressure results in either no response or only a mild increase in respiratory rate (negative PAAM). In mice with advanced pulmonary metastasis, the described 3 s of digital pressure results in a pronounced increase in chest excursion during respiration or agonal breathing (that is, open-mouth breathing, gasping; positive PAAM).</w:t>
      </w:r>
    </w:p>
    <w:p w14:paraId="5CA20EFA" w14:textId="77777777" w:rsidR="00177F98" w:rsidRPr="00101FBD" w:rsidRDefault="00177F98" w:rsidP="00177F98">
      <w:pPr>
        <w:spacing w:after="0" w:line="240" w:lineRule="auto"/>
        <w:rPr>
          <w:rFonts w:cs="Times New Roman"/>
        </w:rPr>
      </w:pPr>
    </w:p>
    <w:p w14:paraId="50258095" w14:textId="77777777" w:rsidR="00177F98" w:rsidRPr="00101FBD" w:rsidRDefault="00177F98" w:rsidP="00177F98">
      <w:pPr>
        <w:pStyle w:val="NoSpacing"/>
        <w:rPr>
          <w:rFonts w:cs="Times New Roman"/>
        </w:rPr>
      </w:pPr>
      <w:r w:rsidRPr="00101FBD">
        <w:rPr>
          <w:rFonts w:cs="Times New Roman"/>
        </w:rPr>
        <w:t xml:space="preserve">The euthanasia endpoint for these studies would include positive PAAM test. </w:t>
      </w:r>
    </w:p>
    <w:p w14:paraId="49C2C652" w14:textId="77777777" w:rsidR="00177F98" w:rsidRPr="00C37406" w:rsidRDefault="00177F98" w:rsidP="00177F98"/>
    <w:p w14:paraId="61B13BF8" w14:textId="79D4377A" w:rsidR="001C3B66" w:rsidRDefault="001C3B66" w:rsidP="002A124C">
      <w:pPr>
        <w:spacing w:after="0" w:line="240" w:lineRule="auto"/>
        <w:rPr>
          <w:rFonts w:ascii="Times New Roman" w:hAnsi="Times New Roman" w:cs="Times New Roman"/>
          <w:b/>
          <w:sz w:val="36"/>
          <w:szCs w:val="36"/>
          <w:u w:val="single"/>
        </w:rPr>
      </w:pPr>
    </w:p>
    <w:p w14:paraId="00EE9079" w14:textId="05FF2296" w:rsidR="005A3015" w:rsidRPr="00004F25" w:rsidRDefault="001C3B66" w:rsidP="002A124C">
      <w:pPr>
        <w:spacing w:after="0" w:line="240" w:lineRule="auto"/>
        <w:rPr>
          <w:rFonts w:cs="Calibri (Body)"/>
          <w:bCs/>
          <w:color w:val="548DD4" w:themeColor="text2" w:themeTint="99"/>
        </w:rPr>
      </w:pPr>
      <w:r w:rsidRPr="00004F25">
        <w:rPr>
          <w:rFonts w:cs="Calibri (Body)"/>
          <w:bCs/>
          <w:color w:val="548DD4" w:themeColor="text2" w:themeTint="99"/>
          <w:sz w:val="36"/>
          <w:szCs w:val="36"/>
          <w:u w:val="single"/>
        </w:rPr>
        <w:t>Mouse Body Condition Score Guidelines</w:t>
      </w:r>
    </w:p>
    <w:p w14:paraId="5B291DA4" w14:textId="77777777" w:rsidR="005A3015" w:rsidRPr="00177F98" w:rsidRDefault="005A3015" w:rsidP="002A124C">
      <w:pPr>
        <w:spacing w:after="0" w:line="240" w:lineRule="auto"/>
        <w:rPr>
          <w:rFonts w:cstheme="minorHAnsi"/>
        </w:rPr>
      </w:pPr>
    </w:p>
    <w:p w14:paraId="5362F272" w14:textId="31FD019A" w:rsidR="005A3015" w:rsidRPr="00177F98" w:rsidRDefault="005A3015" w:rsidP="002A124C">
      <w:pPr>
        <w:spacing w:after="0" w:line="240" w:lineRule="auto"/>
        <w:rPr>
          <w:rFonts w:cstheme="minorHAnsi"/>
        </w:rPr>
      </w:pPr>
    </w:p>
    <w:tbl>
      <w:tblPr>
        <w:tblStyle w:val="TableGrid"/>
        <w:tblW w:w="9620" w:type="dxa"/>
        <w:tblInd w:w="-252" w:type="dxa"/>
        <w:tblLook w:val="04A0" w:firstRow="1" w:lastRow="0" w:firstColumn="1" w:lastColumn="0" w:noHBand="0" w:noVBand="1"/>
      </w:tblPr>
      <w:tblGrid>
        <w:gridCol w:w="1704"/>
        <w:gridCol w:w="2556"/>
        <w:gridCol w:w="3198"/>
        <w:gridCol w:w="2162"/>
      </w:tblGrid>
      <w:tr w:rsidR="005C6C20" w:rsidRPr="00177F98" w14:paraId="2F49165C" w14:textId="77777777" w:rsidTr="00004F25">
        <w:trPr>
          <w:trHeight w:val="323"/>
        </w:trPr>
        <w:tc>
          <w:tcPr>
            <w:tcW w:w="1704" w:type="dxa"/>
            <w:vAlign w:val="center"/>
          </w:tcPr>
          <w:p w14:paraId="1B791427" w14:textId="77777777" w:rsidR="005C6C20" w:rsidRPr="00177F98" w:rsidRDefault="005C6C20" w:rsidP="008920A9">
            <w:pPr>
              <w:jc w:val="center"/>
              <w:rPr>
                <w:rFonts w:cstheme="minorHAnsi"/>
              </w:rPr>
            </w:pPr>
            <w:r w:rsidRPr="00177F98">
              <w:rPr>
                <w:rFonts w:eastAsia="Calibri" w:cstheme="minorHAnsi"/>
                <w:b/>
              </w:rPr>
              <w:t>Mouse Body Condition Score</w:t>
            </w:r>
            <w:r w:rsidR="00334574" w:rsidRPr="00177F98">
              <w:rPr>
                <w:rFonts w:eastAsia="Calibri" w:cstheme="minorHAnsi"/>
                <w:b/>
              </w:rPr>
              <w:t xml:space="preserve"> (BCS)</w:t>
            </w:r>
          </w:p>
        </w:tc>
        <w:tc>
          <w:tcPr>
            <w:tcW w:w="2556" w:type="dxa"/>
            <w:vAlign w:val="center"/>
          </w:tcPr>
          <w:p w14:paraId="0F06E8F9" w14:textId="77777777" w:rsidR="005C6C20" w:rsidRPr="00177F98" w:rsidRDefault="005C6C20" w:rsidP="008920A9">
            <w:pPr>
              <w:jc w:val="center"/>
              <w:rPr>
                <w:rFonts w:cstheme="minorHAnsi"/>
              </w:rPr>
            </w:pPr>
            <w:r w:rsidRPr="00177F98">
              <w:rPr>
                <w:rFonts w:eastAsia="Calibri" w:cstheme="minorHAnsi"/>
                <w:b/>
              </w:rPr>
              <w:t>Diagram</w:t>
            </w:r>
          </w:p>
        </w:tc>
        <w:tc>
          <w:tcPr>
            <w:tcW w:w="3198" w:type="dxa"/>
            <w:vAlign w:val="center"/>
          </w:tcPr>
          <w:p w14:paraId="172452E7" w14:textId="77777777" w:rsidR="005C6C20" w:rsidRPr="00177F98" w:rsidRDefault="005C6C20" w:rsidP="008920A9">
            <w:pPr>
              <w:jc w:val="center"/>
              <w:rPr>
                <w:rFonts w:cstheme="minorHAnsi"/>
              </w:rPr>
            </w:pPr>
            <w:r w:rsidRPr="00177F98">
              <w:rPr>
                <w:rFonts w:eastAsia="Calibri" w:cstheme="minorHAnsi"/>
                <w:b/>
              </w:rPr>
              <w:t>Photo</w:t>
            </w:r>
          </w:p>
        </w:tc>
        <w:tc>
          <w:tcPr>
            <w:tcW w:w="2162" w:type="dxa"/>
            <w:vAlign w:val="center"/>
          </w:tcPr>
          <w:p w14:paraId="678D3577" w14:textId="77777777" w:rsidR="005C6C20" w:rsidRPr="00177F98" w:rsidRDefault="005C6C20" w:rsidP="008920A9">
            <w:pPr>
              <w:jc w:val="center"/>
              <w:rPr>
                <w:rFonts w:cstheme="minorHAnsi"/>
              </w:rPr>
            </w:pPr>
            <w:r w:rsidRPr="00177F98">
              <w:rPr>
                <w:rFonts w:eastAsia="Calibri" w:cstheme="minorHAnsi"/>
                <w:b/>
              </w:rPr>
              <w:t>Description</w:t>
            </w:r>
          </w:p>
        </w:tc>
      </w:tr>
      <w:tr w:rsidR="005C6C20" w:rsidRPr="00177F98" w14:paraId="768AFADB" w14:textId="77777777" w:rsidTr="00004F25">
        <w:trPr>
          <w:trHeight w:val="1146"/>
        </w:trPr>
        <w:tc>
          <w:tcPr>
            <w:tcW w:w="1704" w:type="dxa"/>
          </w:tcPr>
          <w:p w14:paraId="21EB9221" w14:textId="77777777" w:rsidR="005C6C20" w:rsidRPr="00177F98" w:rsidRDefault="005C6C20" w:rsidP="00DF4944">
            <w:pPr>
              <w:jc w:val="center"/>
              <w:rPr>
                <w:rFonts w:cstheme="minorHAnsi"/>
                <w:b/>
              </w:rPr>
            </w:pPr>
            <w:r w:rsidRPr="00177F98">
              <w:rPr>
                <w:rFonts w:cstheme="minorHAnsi"/>
                <w:b/>
              </w:rPr>
              <w:t>1</w:t>
            </w:r>
          </w:p>
        </w:tc>
        <w:tc>
          <w:tcPr>
            <w:tcW w:w="2556" w:type="dxa"/>
          </w:tcPr>
          <w:p w14:paraId="6551B322"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0" behindDoc="0" locked="0" layoutInCell="1" allowOverlap="1" wp14:anchorId="12E126B1" wp14:editId="6296102B">
                  <wp:simplePos x="0" y="0"/>
                  <wp:positionH relativeFrom="column">
                    <wp:posOffset>18415</wp:posOffset>
                  </wp:positionH>
                  <wp:positionV relativeFrom="paragraph">
                    <wp:posOffset>130810</wp:posOffset>
                  </wp:positionV>
                  <wp:extent cx="1429385" cy="1127760"/>
                  <wp:effectExtent l="0" t="0" r="0" b="0"/>
                  <wp:wrapSquare wrapText="bothSides"/>
                  <wp:docPr id="27" name="Picture 27"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513" t="2989" r="73421" b="81149"/>
                          <a:stretch>
                            <a:fillRect/>
                          </a:stretch>
                        </pic:blipFill>
                        <pic:spPr bwMode="auto">
                          <a:xfrm>
                            <a:off x="0" y="0"/>
                            <a:ext cx="142938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0A521392"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31F7207B" wp14:editId="70A5E6DF">
                  <wp:extent cx="1781175" cy="1476375"/>
                  <wp:effectExtent l="0" t="0" r="9525" b="9525"/>
                  <wp:docPr id="24" name="Picture 24" descr="BC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S-1(2).JPG"/>
                          <pic:cNvPicPr>
                            <a:picLocks noChangeAspect="1" noChangeArrowheads="1"/>
                          </pic:cNvPicPr>
                        </pic:nvPicPr>
                        <pic:blipFill>
                          <a:blip r:embed="rId12">
                            <a:extLst>
                              <a:ext uri="{28A0092B-C50C-407E-A947-70E740481C1C}">
                                <a14:useLocalDpi xmlns:a14="http://schemas.microsoft.com/office/drawing/2010/main" val="0"/>
                              </a:ext>
                            </a:extLst>
                          </a:blip>
                          <a:srcRect l="31833" t="17241" r="8038" b="15948"/>
                          <a:stretch>
                            <a:fillRect/>
                          </a:stretch>
                        </pic:blipFill>
                        <pic:spPr bwMode="auto">
                          <a:xfrm>
                            <a:off x="0" y="0"/>
                            <a:ext cx="1781175" cy="1476375"/>
                          </a:xfrm>
                          <a:prstGeom prst="rect">
                            <a:avLst/>
                          </a:prstGeom>
                          <a:noFill/>
                          <a:ln>
                            <a:noFill/>
                          </a:ln>
                        </pic:spPr>
                      </pic:pic>
                    </a:graphicData>
                  </a:graphic>
                </wp:inline>
              </w:drawing>
            </w:r>
          </w:p>
        </w:tc>
        <w:tc>
          <w:tcPr>
            <w:tcW w:w="2162" w:type="dxa"/>
          </w:tcPr>
          <w:p w14:paraId="09C570F4" w14:textId="77777777" w:rsidR="005C6C20" w:rsidRPr="00177F98" w:rsidRDefault="005C6C20" w:rsidP="00DF4944">
            <w:pPr>
              <w:jc w:val="center"/>
              <w:rPr>
                <w:rFonts w:cstheme="minorHAnsi"/>
              </w:rPr>
            </w:pPr>
            <w:r w:rsidRPr="00177F98">
              <w:rPr>
                <w:rFonts w:eastAsia="Calibri" w:cstheme="minorHAnsi"/>
                <w:b/>
              </w:rPr>
              <w:t>Mouse is emaciated.</w:t>
            </w:r>
            <w:r w:rsidRPr="00177F98">
              <w:rPr>
                <w:rFonts w:eastAsia="Calibri" w:cstheme="minorHAnsi"/>
              </w:rPr>
              <w:t xml:space="preserve"> Skeletal structure is extremely prominent. Little or no flesh cover. Vertebrae are distinctly segmented.</w:t>
            </w:r>
          </w:p>
        </w:tc>
      </w:tr>
      <w:tr w:rsidR="005C6C20" w:rsidRPr="00177F98" w14:paraId="25A3422D" w14:textId="77777777" w:rsidTr="00004F25">
        <w:trPr>
          <w:trHeight w:val="1533"/>
        </w:trPr>
        <w:tc>
          <w:tcPr>
            <w:tcW w:w="1704" w:type="dxa"/>
          </w:tcPr>
          <w:p w14:paraId="4CC6A8EE" w14:textId="77777777" w:rsidR="005C6C20" w:rsidRPr="00177F98" w:rsidRDefault="005C6C20" w:rsidP="00DF4944">
            <w:pPr>
              <w:jc w:val="center"/>
              <w:rPr>
                <w:rFonts w:cstheme="minorHAnsi"/>
                <w:b/>
              </w:rPr>
            </w:pPr>
            <w:r w:rsidRPr="00177F98">
              <w:rPr>
                <w:rFonts w:cstheme="minorHAnsi"/>
                <w:b/>
              </w:rPr>
              <w:lastRenderedPageBreak/>
              <w:t>2</w:t>
            </w:r>
          </w:p>
        </w:tc>
        <w:tc>
          <w:tcPr>
            <w:tcW w:w="2556" w:type="dxa"/>
          </w:tcPr>
          <w:p w14:paraId="7C4B9896"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1" behindDoc="0" locked="0" layoutInCell="1" allowOverlap="1" wp14:anchorId="2796F133" wp14:editId="64AFF27D">
                  <wp:simplePos x="0" y="0"/>
                  <wp:positionH relativeFrom="column">
                    <wp:posOffset>77470</wp:posOffset>
                  </wp:positionH>
                  <wp:positionV relativeFrom="paragraph">
                    <wp:posOffset>85725</wp:posOffset>
                  </wp:positionV>
                  <wp:extent cx="1365885" cy="1151890"/>
                  <wp:effectExtent l="0" t="0" r="5715" b="0"/>
                  <wp:wrapSquare wrapText="bothSides"/>
                  <wp:docPr id="26" name="Picture 26"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313" t="22191" r="74747" b="61613"/>
                          <a:stretch>
                            <a:fillRect/>
                          </a:stretch>
                        </pic:blipFill>
                        <pic:spPr bwMode="auto">
                          <a:xfrm>
                            <a:off x="0" y="0"/>
                            <a:ext cx="136588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7B29A26F"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4CF691C2" wp14:editId="2A428BFB">
                  <wp:extent cx="1762125" cy="1581150"/>
                  <wp:effectExtent l="0" t="0" r="9525" b="0"/>
                  <wp:docPr id="23" name="Picture 23" descr="B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S-2.JPG"/>
                          <pic:cNvPicPr>
                            <a:picLocks noChangeAspect="1" noChangeArrowheads="1"/>
                          </pic:cNvPicPr>
                        </pic:nvPicPr>
                        <pic:blipFill>
                          <a:blip r:embed="rId13">
                            <a:extLst>
                              <a:ext uri="{28A0092B-C50C-407E-A947-70E740481C1C}">
                                <a14:useLocalDpi xmlns:a14="http://schemas.microsoft.com/office/drawing/2010/main" val="0"/>
                              </a:ext>
                            </a:extLst>
                          </a:blip>
                          <a:srcRect l="12434" t="16374" r="31760"/>
                          <a:stretch>
                            <a:fillRect/>
                          </a:stretch>
                        </pic:blipFill>
                        <pic:spPr bwMode="auto">
                          <a:xfrm>
                            <a:off x="0" y="0"/>
                            <a:ext cx="1762125" cy="1581150"/>
                          </a:xfrm>
                          <a:prstGeom prst="rect">
                            <a:avLst/>
                          </a:prstGeom>
                          <a:noFill/>
                          <a:ln>
                            <a:noFill/>
                          </a:ln>
                        </pic:spPr>
                      </pic:pic>
                    </a:graphicData>
                  </a:graphic>
                </wp:inline>
              </w:drawing>
            </w:r>
          </w:p>
        </w:tc>
        <w:tc>
          <w:tcPr>
            <w:tcW w:w="2162" w:type="dxa"/>
          </w:tcPr>
          <w:p w14:paraId="0749648E" w14:textId="77777777" w:rsidR="005C6C20" w:rsidRPr="00177F98" w:rsidRDefault="005C6C20" w:rsidP="00DF4944">
            <w:pPr>
              <w:jc w:val="center"/>
              <w:rPr>
                <w:rFonts w:cstheme="minorHAnsi"/>
              </w:rPr>
            </w:pPr>
            <w:r w:rsidRPr="00177F98">
              <w:rPr>
                <w:rFonts w:eastAsia="Calibri" w:cstheme="minorHAnsi"/>
                <w:b/>
              </w:rPr>
              <w:t>Mouse is under-conditioned.</w:t>
            </w:r>
            <w:r w:rsidRPr="00177F98">
              <w:rPr>
                <w:rFonts w:eastAsia="Calibri" w:cstheme="minorHAnsi"/>
              </w:rPr>
              <w:t xml:space="preserve"> Segmentation of vertebral column is evident. Dorsal pelvic bones are readily palpable.</w:t>
            </w:r>
          </w:p>
        </w:tc>
      </w:tr>
      <w:tr w:rsidR="005C6C20" w:rsidRPr="00177F98" w14:paraId="4F396B35" w14:textId="77777777" w:rsidTr="00004F25">
        <w:trPr>
          <w:trHeight w:val="1385"/>
        </w:trPr>
        <w:tc>
          <w:tcPr>
            <w:tcW w:w="1704" w:type="dxa"/>
          </w:tcPr>
          <w:p w14:paraId="032E80BC" w14:textId="77777777" w:rsidR="005C6C20" w:rsidRPr="00177F98" w:rsidRDefault="005C6C20" w:rsidP="00DF4944">
            <w:pPr>
              <w:jc w:val="center"/>
              <w:rPr>
                <w:rFonts w:cstheme="minorHAnsi"/>
                <w:b/>
              </w:rPr>
            </w:pPr>
            <w:r w:rsidRPr="00177F98">
              <w:rPr>
                <w:rFonts w:cstheme="minorHAnsi"/>
                <w:b/>
              </w:rPr>
              <w:t>3</w:t>
            </w:r>
          </w:p>
        </w:tc>
        <w:tc>
          <w:tcPr>
            <w:tcW w:w="2556" w:type="dxa"/>
          </w:tcPr>
          <w:p w14:paraId="2A0D4B3E"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2" behindDoc="0" locked="0" layoutInCell="1" allowOverlap="1" wp14:anchorId="5600E11E" wp14:editId="7AC919EE">
                  <wp:simplePos x="0" y="0"/>
                  <wp:positionH relativeFrom="column">
                    <wp:posOffset>77470</wp:posOffset>
                  </wp:positionH>
                  <wp:positionV relativeFrom="paragraph">
                    <wp:posOffset>66675</wp:posOffset>
                  </wp:positionV>
                  <wp:extent cx="1239520" cy="1151890"/>
                  <wp:effectExtent l="0" t="0" r="0" b="0"/>
                  <wp:wrapSquare wrapText="bothSides"/>
                  <wp:docPr id="25" name="Picture 25"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690" t="39555" r="76273" b="44247"/>
                          <a:stretch>
                            <a:fillRect/>
                          </a:stretch>
                        </pic:blipFill>
                        <pic:spPr bwMode="auto">
                          <a:xfrm>
                            <a:off x="0" y="0"/>
                            <a:ext cx="12395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5B0C640A"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0FF4BE18" wp14:editId="3B2D514C">
                  <wp:extent cx="1752600" cy="1428750"/>
                  <wp:effectExtent l="0" t="0" r="0" b="0"/>
                  <wp:docPr id="22" name="Picture 22" descr="B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S-3.JPG"/>
                          <pic:cNvPicPr>
                            <a:picLocks noChangeAspect="1" noChangeArrowheads="1"/>
                          </pic:cNvPicPr>
                        </pic:nvPicPr>
                        <pic:blipFill>
                          <a:blip r:embed="rId14">
                            <a:extLst>
                              <a:ext uri="{28A0092B-C50C-407E-A947-70E740481C1C}">
                                <a14:useLocalDpi xmlns:a14="http://schemas.microsoft.com/office/drawing/2010/main" val="0"/>
                              </a:ext>
                            </a:extLst>
                          </a:blip>
                          <a:srcRect l="28999" t="15334"/>
                          <a:stretch>
                            <a:fillRect/>
                          </a:stretch>
                        </pic:blipFill>
                        <pic:spPr bwMode="auto">
                          <a:xfrm flipV="1">
                            <a:off x="0" y="0"/>
                            <a:ext cx="1752600" cy="1428750"/>
                          </a:xfrm>
                          <a:prstGeom prst="rect">
                            <a:avLst/>
                          </a:prstGeom>
                          <a:noFill/>
                          <a:ln>
                            <a:noFill/>
                          </a:ln>
                        </pic:spPr>
                      </pic:pic>
                    </a:graphicData>
                  </a:graphic>
                </wp:inline>
              </w:drawing>
            </w:r>
          </w:p>
        </w:tc>
        <w:tc>
          <w:tcPr>
            <w:tcW w:w="2162" w:type="dxa"/>
          </w:tcPr>
          <w:p w14:paraId="0566AE4D" w14:textId="77777777" w:rsidR="005C6C20" w:rsidRPr="00177F98" w:rsidRDefault="005C6C20" w:rsidP="00DF4944">
            <w:pPr>
              <w:jc w:val="center"/>
              <w:rPr>
                <w:rFonts w:cstheme="minorHAnsi"/>
              </w:rPr>
            </w:pPr>
            <w:r w:rsidRPr="00177F98">
              <w:rPr>
                <w:rFonts w:eastAsia="Calibri" w:cstheme="minorHAnsi"/>
                <w:b/>
              </w:rPr>
              <w:t>Mouse is well-conditioned.</w:t>
            </w:r>
            <w:r w:rsidRPr="00177F98">
              <w:rPr>
                <w:rFonts w:eastAsia="Calibri" w:cstheme="minorHAnsi"/>
              </w:rPr>
              <w:t xml:space="preserve"> Vertebrae and dorsal pelvis are not prominent but palpable with slight pressure.</w:t>
            </w:r>
          </w:p>
        </w:tc>
      </w:tr>
      <w:tr w:rsidR="005C6C20" w:rsidRPr="00177F98" w14:paraId="75934A80" w14:textId="77777777" w:rsidTr="00004F25">
        <w:trPr>
          <w:trHeight w:val="1680"/>
        </w:trPr>
        <w:tc>
          <w:tcPr>
            <w:tcW w:w="1704" w:type="dxa"/>
          </w:tcPr>
          <w:p w14:paraId="68D2A2AC" w14:textId="77777777" w:rsidR="005C6C20" w:rsidRPr="00177F98" w:rsidRDefault="005C6C20" w:rsidP="00DF4944">
            <w:pPr>
              <w:jc w:val="center"/>
              <w:rPr>
                <w:rFonts w:cstheme="minorHAnsi"/>
                <w:b/>
              </w:rPr>
            </w:pPr>
            <w:r w:rsidRPr="00177F98">
              <w:rPr>
                <w:rFonts w:cstheme="minorHAnsi"/>
                <w:b/>
              </w:rPr>
              <w:t>4</w:t>
            </w:r>
          </w:p>
        </w:tc>
        <w:tc>
          <w:tcPr>
            <w:tcW w:w="2556" w:type="dxa"/>
          </w:tcPr>
          <w:p w14:paraId="73B79931"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3" behindDoc="0" locked="0" layoutInCell="1" allowOverlap="1" wp14:anchorId="54949B63" wp14:editId="641A0971">
                  <wp:simplePos x="0" y="0"/>
                  <wp:positionH relativeFrom="column">
                    <wp:posOffset>77470</wp:posOffset>
                  </wp:positionH>
                  <wp:positionV relativeFrom="paragraph">
                    <wp:posOffset>87630</wp:posOffset>
                  </wp:positionV>
                  <wp:extent cx="1268095" cy="1246505"/>
                  <wp:effectExtent l="0" t="0" r="8255" b="0"/>
                  <wp:wrapSquare wrapText="bothSides"/>
                  <wp:docPr id="33" name="Picture 33"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307" t="56587" r="76353" b="25845"/>
                          <a:stretch>
                            <a:fillRect/>
                          </a:stretch>
                        </pic:blipFill>
                        <pic:spPr bwMode="auto">
                          <a:xfrm>
                            <a:off x="0" y="0"/>
                            <a:ext cx="126809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657CDE8A"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55E92424" wp14:editId="6C1C6F16">
                  <wp:extent cx="1733550" cy="933450"/>
                  <wp:effectExtent l="0" t="0" r="0" b="0"/>
                  <wp:docPr id="1" name="Picture 1" descr="BC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4(2).JPG"/>
                          <pic:cNvPicPr>
                            <a:picLocks noChangeAspect="1" noChangeArrowheads="1"/>
                          </pic:cNvPicPr>
                        </pic:nvPicPr>
                        <pic:blipFill>
                          <a:blip r:embed="rId15">
                            <a:extLst>
                              <a:ext uri="{28A0092B-C50C-407E-A947-70E740481C1C}">
                                <a14:useLocalDpi xmlns:a14="http://schemas.microsoft.com/office/drawing/2010/main" val="0"/>
                              </a:ext>
                            </a:extLst>
                          </a:blip>
                          <a:srcRect l="27013" t="22659" b="24968"/>
                          <a:stretch>
                            <a:fillRect/>
                          </a:stretch>
                        </pic:blipFill>
                        <pic:spPr bwMode="auto">
                          <a:xfrm rot="5400000">
                            <a:off x="0" y="0"/>
                            <a:ext cx="1733550" cy="933450"/>
                          </a:xfrm>
                          <a:prstGeom prst="rect">
                            <a:avLst/>
                          </a:prstGeom>
                          <a:noFill/>
                          <a:ln>
                            <a:noFill/>
                          </a:ln>
                        </pic:spPr>
                      </pic:pic>
                    </a:graphicData>
                  </a:graphic>
                </wp:inline>
              </w:drawing>
            </w:r>
          </w:p>
        </w:tc>
        <w:tc>
          <w:tcPr>
            <w:tcW w:w="2162" w:type="dxa"/>
          </w:tcPr>
          <w:p w14:paraId="02724A26" w14:textId="77777777" w:rsidR="005C6C20" w:rsidRPr="00177F98" w:rsidRDefault="005C6C20" w:rsidP="00DF4944">
            <w:pPr>
              <w:jc w:val="center"/>
              <w:rPr>
                <w:rFonts w:cstheme="minorHAnsi"/>
              </w:rPr>
            </w:pPr>
            <w:r w:rsidRPr="00177F98">
              <w:rPr>
                <w:rFonts w:eastAsia="Calibri" w:cstheme="minorHAnsi"/>
                <w:b/>
              </w:rPr>
              <w:t>Mouse is over-conditioned.</w:t>
            </w:r>
            <w:r w:rsidRPr="00177F98">
              <w:rPr>
                <w:rFonts w:eastAsia="Calibri" w:cstheme="minorHAnsi"/>
              </w:rPr>
              <w:t xml:space="preserve"> The spine is a continuous column. Vertebrae are palpable only with firm pressure.</w:t>
            </w:r>
          </w:p>
        </w:tc>
      </w:tr>
      <w:tr w:rsidR="005C6C20" w:rsidRPr="00177F98" w14:paraId="37B4FDA1" w14:textId="77777777" w:rsidTr="00004F25">
        <w:trPr>
          <w:trHeight w:val="2175"/>
        </w:trPr>
        <w:tc>
          <w:tcPr>
            <w:tcW w:w="1704" w:type="dxa"/>
          </w:tcPr>
          <w:p w14:paraId="2E9E0145" w14:textId="77777777" w:rsidR="005C6C20" w:rsidRPr="00177F98" w:rsidRDefault="005C6C20" w:rsidP="00DF4944">
            <w:pPr>
              <w:jc w:val="center"/>
              <w:rPr>
                <w:rFonts w:cstheme="minorHAnsi"/>
                <w:b/>
              </w:rPr>
            </w:pPr>
            <w:r w:rsidRPr="00177F98">
              <w:rPr>
                <w:rFonts w:cstheme="minorHAnsi"/>
                <w:b/>
              </w:rPr>
              <w:t>5</w:t>
            </w:r>
          </w:p>
        </w:tc>
        <w:tc>
          <w:tcPr>
            <w:tcW w:w="2556" w:type="dxa"/>
          </w:tcPr>
          <w:p w14:paraId="7EA38CB4"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4" behindDoc="0" locked="0" layoutInCell="1" allowOverlap="1" wp14:anchorId="19DEA26B" wp14:editId="0D09AD6E">
                  <wp:simplePos x="0" y="0"/>
                  <wp:positionH relativeFrom="column">
                    <wp:posOffset>-677545</wp:posOffset>
                  </wp:positionH>
                  <wp:positionV relativeFrom="paragraph">
                    <wp:posOffset>-2298065</wp:posOffset>
                  </wp:positionV>
                  <wp:extent cx="1480185" cy="1304925"/>
                  <wp:effectExtent l="0" t="0" r="5715" b="9525"/>
                  <wp:wrapSquare wrapText="bothSides"/>
                  <wp:docPr id="32" name="Picture 32"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2936" t="75288" r="73338" b="6345"/>
                          <a:stretch>
                            <a:fillRect/>
                          </a:stretch>
                        </pic:blipFill>
                        <pic:spPr bwMode="auto">
                          <a:xfrm>
                            <a:off x="0" y="0"/>
                            <a:ext cx="14801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6359D105"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474EFE2C" wp14:editId="3C79B414">
                  <wp:extent cx="1171575" cy="1504950"/>
                  <wp:effectExtent l="0" t="0" r="9525" b="0"/>
                  <wp:docPr id="2" name="Picture 2" descr="B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S-5.JPG"/>
                          <pic:cNvPicPr>
                            <a:picLocks noChangeAspect="1" noChangeArrowheads="1"/>
                          </pic:cNvPicPr>
                        </pic:nvPicPr>
                        <pic:blipFill>
                          <a:blip r:embed="rId16" cstate="print">
                            <a:extLst>
                              <a:ext uri="{28A0092B-C50C-407E-A947-70E740481C1C}">
                                <a14:useLocalDpi xmlns:a14="http://schemas.microsoft.com/office/drawing/2010/main" val="0"/>
                              </a:ext>
                            </a:extLst>
                          </a:blip>
                          <a:srcRect l="10345" t="21935" r="8621"/>
                          <a:stretch>
                            <a:fillRect/>
                          </a:stretch>
                        </pic:blipFill>
                        <pic:spPr bwMode="auto">
                          <a:xfrm>
                            <a:off x="0" y="0"/>
                            <a:ext cx="1171575" cy="1504950"/>
                          </a:xfrm>
                          <a:prstGeom prst="rect">
                            <a:avLst/>
                          </a:prstGeom>
                          <a:noFill/>
                          <a:ln>
                            <a:noFill/>
                          </a:ln>
                        </pic:spPr>
                      </pic:pic>
                    </a:graphicData>
                  </a:graphic>
                </wp:inline>
              </w:drawing>
            </w:r>
          </w:p>
        </w:tc>
        <w:tc>
          <w:tcPr>
            <w:tcW w:w="2162" w:type="dxa"/>
          </w:tcPr>
          <w:p w14:paraId="07B4A1EF" w14:textId="77777777" w:rsidR="005C6C20" w:rsidRPr="00177F98" w:rsidRDefault="005C6C20" w:rsidP="00DF4944">
            <w:pPr>
              <w:jc w:val="center"/>
              <w:rPr>
                <w:rFonts w:cstheme="minorHAnsi"/>
              </w:rPr>
            </w:pPr>
            <w:r w:rsidRPr="00177F98">
              <w:rPr>
                <w:rFonts w:eastAsia="Calibri" w:cstheme="minorHAnsi"/>
                <w:b/>
              </w:rPr>
              <w:t>Mouse is obese,</w:t>
            </w:r>
            <w:r w:rsidRPr="00177F98">
              <w:rPr>
                <w:rFonts w:eastAsia="Calibri" w:cstheme="minorHAnsi"/>
              </w:rPr>
              <w:t xml:space="preserve"> smooth and bulky. Bone structure disappears under flesh and subcutaneous fat.</w:t>
            </w:r>
          </w:p>
        </w:tc>
      </w:tr>
    </w:tbl>
    <w:p w14:paraId="3572DEFC" w14:textId="1E2A0C97" w:rsidR="005C6C20" w:rsidRDefault="002A614A" w:rsidP="002A614A">
      <w:pPr>
        <w:pStyle w:val="NoSpacing"/>
        <w:jc w:val="both"/>
        <w:rPr>
          <w:rFonts w:cstheme="minorHAnsi"/>
          <w:color w:val="000000"/>
          <w:sz w:val="19"/>
          <w:szCs w:val="19"/>
          <w:shd w:val="clear" w:color="auto" w:fill="FFFFFF"/>
        </w:rPr>
      </w:pPr>
      <w:r w:rsidRPr="00177F98">
        <w:rPr>
          <w:rFonts w:cstheme="minorHAnsi"/>
          <w:color w:val="000000"/>
          <w:sz w:val="19"/>
          <w:szCs w:val="19"/>
          <w:shd w:val="clear" w:color="auto" w:fill="FFFFFF"/>
        </w:rPr>
        <w:t>Ullman-</w:t>
      </w:r>
      <w:proofErr w:type="spellStart"/>
      <w:r w:rsidRPr="00177F98">
        <w:rPr>
          <w:rFonts w:cstheme="minorHAnsi"/>
          <w:color w:val="000000"/>
          <w:sz w:val="19"/>
          <w:szCs w:val="19"/>
          <w:shd w:val="clear" w:color="auto" w:fill="FFFFFF"/>
        </w:rPr>
        <w:t>Cullere</w:t>
      </w:r>
      <w:proofErr w:type="spellEnd"/>
      <w:r w:rsidRPr="00177F98">
        <w:rPr>
          <w:rFonts w:cstheme="minorHAnsi"/>
          <w:color w:val="000000"/>
          <w:sz w:val="19"/>
          <w:szCs w:val="19"/>
          <w:shd w:val="clear" w:color="auto" w:fill="FFFFFF"/>
        </w:rPr>
        <w:t xml:space="preserve"> MH, Foltz CJ (1999) Body condition scoring: a rapid and accurate method for assessing health status in mice.</w:t>
      </w:r>
      <w:r w:rsidR="00F50575">
        <w:rPr>
          <w:rStyle w:val="apple-converted-space"/>
          <w:rFonts w:cstheme="minorHAnsi"/>
          <w:color w:val="000000"/>
          <w:sz w:val="19"/>
          <w:szCs w:val="19"/>
          <w:shd w:val="clear" w:color="auto" w:fill="FFFFFF"/>
        </w:rPr>
        <w:t xml:space="preserve"> </w:t>
      </w:r>
      <w:r w:rsidRPr="00177F98">
        <w:rPr>
          <w:rStyle w:val="journal"/>
          <w:rFonts w:cstheme="minorHAnsi"/>
          <w:i/>
          <w:iCs/>
          <w:color w:val="000000"/>
          <w:sz w:val="19"/>
          <w:szCs w:val="19"/>
          <w:shd w:val="clear" w:color="auto" w:fill="FFFFFF"/>
        </w:rPr>
        <w:t>Lab Anim Sci</w:t>
      </w:r>
      <w:r w:rsidR="00F50575">
        <w:rPr>
          <w:rStyle w:val="apple-converted-space"/>
          <w:rFonts w:cstheme="minorHAnsi"/>
          <w:color w:val="000000"/>
          <w:sz w:val="19"/>
          <w:szCs w:val="19"/>
          <w:shd w:val="clear" w:color="auto" w:fill="FFFFFF"/>
        </w:rPr>
        <w:t xml:space="preserve"> </w:t>
      </w:r>
      <w:r w:rsidRPr="00177F98">
        <w:rPr>
          <w:rStyle w:val="jnumber"/>
          <w:rFonts w:cstheme="minorHAnsi"/>
          <w:b/>
          <w:bCs/>
          <w:color w:val="000000"/>
          <w:sz w:val="19"/>
          <w:szCs w:val="19"/>
          <w:shd w:val="clear" w:color="auto" w:fill="FFFFFF"/>
        </w:rPr>
        <w:t>49</w:t>
      </w:r>
      <w:r w:rsidRPr="00177F98">
        <w:rPr>
          <w:rFonts w:cstheme="minorHAnsi"/>
          <w:color w:val="000000"/>
          <w:sz w:val="19"/>
          <w:szCs w:val="19"/>
          <w:shd w:val="clear" w:color="auto" w:fill="FFFFFF"/>
        </w:rPr>
        <w:t>: 319–323</w:t>
      </w:r>
    </w:p>
    <w:p w14:paraId="44468090" w14:textId="5FBEFD83" w:rsidR="00177F98" w:rsidRDefault="00177F98" w:rsidP="002A614A">
      <w:pPr>
        <w:pStyle w:val="NoSpacing"/>
        <w:jc w:val="both"/>
        <w:rPr>
          <w:rFonts w:cstheme="minorHAnsi"/>
          <w:color w:val="000000"/>
          <w:sz w:val="19"/>
          <w:szCs w:val="19"/>
          <w:shd w:val="clear" w:color="auto" w:fill="FFFFFF"/>
        </w:rPr>
      </w:pPr>
    </w:p>
    <w:p w14:paraId="3D106554" w14:textId="390C2015" w:rsidR="00177F98" w:rsidRDefault="00177F98" w:rsidP="002A614A">
      <w:pPr>
        <w:pStyle w:val="NoSpacing"/>
        <w:jc w:val="both"/>
        <w:rPr>
          <w:rFonts w:cstheme="minorHAnsi"/>
          <w:color w:val="000000"/>
          <w:sz w:val="19"/>
          <w:szCs w:val="19"/>
          <w:shd w:val="clear" w:color="auto" w:fill="FFFFFF"/>
        </w:rPr>
      </w:pPr>
    </w:p>
    <w:p w14:paraId="6C32E42E" w14:textId="77777777" w:rsidR="00177F98" w:rsidRPr="00004F25" w:rsidRDefault="00177F98" w:rsidP="00004F25">
      <w:pPr>
        <w:pStyle w:val="Heading1"/>
        <w:ind w:left="0"/>
        <w:jc w:val="left"/>
        <w:rPr>
          <w:b w:val="0"/>
          <w:bCs/>
          <w:color w:val="548DD4" w:themeColor="text2" w:themeTint="99"/>
          <w:sz w:val="26"/>
          <w:szCs w:val="26"/>
        </w:rPr>
      </w:pPr>
      <w:bookmarkStart w:id="0" w:name="_Hlk8286213"/>
      <w:r w:rsidRPr="00004F25">
        <w:rPr>
          <w:b w:val="0"/>
          <w:bCs/>
          <w:color w:val="548DD4" w:themeColor="text2" w:themeTint="99"/>
          <w:sz w:val="26"/>
          <w:szCs w:val="26"/>
        </w:rPr>
        <w:t>Regulations and Reference Documents:</w:t>
      </w:r>
    </w:p>
    <w:p w14:paraId="7768A6ED" w14:textId="77777777" w:rsidR="00177F98" w:rsidRPr="00101FBD" w:rsidRDefault="00177F98" w:rsidP="00177F98">
      <w:pPr>
        <w:spacing w:after="0" w:line="240" w:lineRule="auto"/>
        <w:rPr>
          <w:rFonts w:cs="Times New Roman"/>
        </w:rPr>
      </w:pPr>
      <w:r w:rsidRPr="00101FBD">
        <w:rPr>
          <w:rFonts w:cs="Times New Roman"/>
        </w:rPr>
        <w:fldChar w:fldCharType="begin" w:fldLock="1"/>
      </w:r>
      <w:r w:rsidRPr="00101FBD">
        <w:rPr>
          <w:rFonts w:cs="Times New Roman"/>
        </w:rPr>
        <w:instrText>ADDIN CSL_CITATION {"citationItems":[{"id":"ITEM-1","itemData":{"DOI":"10.1007/s11916-014-0423-6","ISBN":"1191601404","ISSN":"15343081","abstract":"Cancer pain is not a single entity but a complex pain state involving different pain syndromes, with inflammatory, neuropathic, compressive, and ischaemic mechanisms. Current therapeutic regimens are based largely on opioids, although opioid treatment can lead to many side effects. Studies using animal models of cancer pain are aimed at understanding cancer pain and developing novel therapies. The most frequently reported models are of bone cancer pain, predominantly modelling pain associated with tumour growth within bone marrow. Here we summarise recent findings from studies using animal models of cancer pain and discuss the methodological quality of these studies. © Springer Science+Business Media 2014.","author":[{"dropping-particle":"","family":"Currie","given":"Gillian L.","non-dropping-particle":"","parse-names":false,"suffix":""},{"dropping-particle":"","family":"Sena","given":"Emily S.","non-dropping-particle":"","parse-names":false,"suffix":""},{"dropping-particle":"","family":"Fallon","given":"Marie T.","non-dropping-particle":"","parse-names":false,"suffix":""},{"dropping-particle":"","family":"Macleod","given":"Malcolm R.","non-dropping-particle":"","parse-names":false,"suffix":""},{"dropping-particle":"","family":"Colvin","given":"Lesley A.","non-dropping-particle":"","parse-names":false,"suffix":""}],"container-title":"Current Pain and Headache Reports","id":"ITEM-1","issue":"6","issued":{"date-parts":[["2014"]]},"title":"Using animal models to understand cancer pain in humans","type":"article-journal","volume":"18"},"uris":["http://www.mendeley.com/documents/?uuid=90e56144-9665-4374-b5db-11e978f3bf02"]},{"id":"ITEM-2","itemData":{"DOI":"10.1258/002367797780596211","ISSN":"00236772","abstract":"During the last decades, an increase is apparent in the use of analgesics for laboratory animals in situations where this was previously considered unnecessary. Mice with advanced tumours often show clear signs of discomfort which may be a result of chronic pain or a result of general ill-being. The syngeneic murine tumour model most frequently used in our experiments was used to investigate whether this discomfort can be reduced with an analgesic. Twenty DBA/2 mice bearing SL2 lymphoma were given 0.5 mg/kg buprenorphine (Temgesic) in food gel twice daily, 20 tumour-bearing mice were given control food gel at the same times. Indicators of well-being were monitored daily. These included behavioural parameters such as exploration, grooming, and posture; food and water consumption and fur quality. All mice showed a clear increase of discomfort with time: explorative behaviours and grooming decreased, while sitting in hunched posture increased. Food and water consumption and fur quality also decreased. Major significant differences between the buprenorphine treated group and the control group were not apparent. In conclusion, we could not document a positive effect or buprenorphine on discomfort in mice as evaluated by our scoring system. It remains possible that pain itself was not the primary cause of the discomfort in mice bearing these tumours, or that the analgesic effect of buprenorphine was insufficient under these circumstances.","author":[{"dropping-particle":"","family":"Loo","given":"P. L.P.","non-dropping-particle":"Van","parse-names":false,"suffix":""},{"dropping-particle":"","family":"Everse","given":"L. A.","non-dropping-particle":"","parse-names":false,"suffix":""},{"dropping-particle":"","family":"Bernsen","given":"M. R.","non-dropping-particle":"","parse-names":false,"suffix":""},{"dropping-particle":"","family":"Baumans","given":"V.","non-dropping-particle":"","parse-names":false,"suffix":""},{"dropping-particle":"","family":"Hellebrekers","given":"L. J.","non-dropping-particle":"","parse-names":false,"suffix":""},{"dropping-particle":"","family":"Kruitwagen","given":"C. L.J.J.","non-dropping-particle":"","parse-names":false,"suffix":""},{"dropping-particle":"","family":"Otter","given":"W.","non-dropping-particle":"Den","parse-names":false,"suffix":""}],"container-title":"Laboratory Animals","id":"ITEM-2","issue":"4","issued":{"date-parts":[["1997"]]},"page":"318-325","title":"Analgesics in mice used in cancer research: Reduction of discomfort?","type":"article-journal","volume":"31"},"uris":["http://www.mendeley.com/documents/?uuid=e73e31ea-751d-4926-a7ca-4c6971aa7e69"]},{"id":"ITEM-3","itemData":{"ISSN":"15320820","abstract":"Accurate, rapid, and noninvasive health assessments are required to establish more appropriate endpoints in mouse cancer models where tumor size is not easily measured. We evaluated potential endpoints in mice with experimentally induced peritoneal lymphoma, an abdominal tumor model, by comparing body weight, body condition, and behavior with those of a control group of mice not developing lymphoma. Our hypothesis was that body weight would increase or plateau, whereas body condition and behavioral scores would decrease, as disease progressed. Results indicated that body weight did not differ significantly between the control and experimental groups, but the experimental group experienced significant decreases in both body condition and behavioral scores. Our results support the use of body condition and behavioral scoring as adjunctive assessment methods for mice involved in abdominal lymphoma tumor studies in which health may decline despite an increase or plateau in body weight.","author":[{"dropping-particle":"V.","family":"Paster","given":"Eden","non-dropping-particle":"","parse-names":false,"suffix":""},{"dropping-particle":"","family":"Villines","given":"Kimberly A.","non-dropping-particle":"","parse-names":false,"suffix":""},{"dropping-particle":"","family":"Hickman","given":"Debra L.","non-dropping-particle":"","parse-names":false,"suffix":""}],"container-title":"Comparative Medicine","id":"ITEM-3","issue":"3","issued":{"date-parts":[["2009"]]},"page":"234-241","title":"Endpoints for mouse abdominal tumor models: Refinement of current criteria","type":"article-journal","volume":"59"},"uris":["http://www.mendeley.com/documents/?uuid=f5ab19cf-364e-405b-ad60-837cc25ccfd5"]},{"id":"ITEM-4","itemData":{"DOI":"10.1038/sj.bjc.6605642","ISSN":"00070920","abstract":"Animal experiments remain essential to understand the fundamental mechanisms underpinning malignancy and to discover improved methods to prevent, diagnose and treat cancer. Excellent standards of animal care are fully consistent with the conduct of high quality cancer research. Here we provide updated guidelines on the welfare and use of animals in cancer research. All experiments should incorporate the 3Rs: replacement, reduction and refinement. Focusing on animal welfare, we present recommendations on all aspects of cancer research, including: study design, statistics and pilot studies; choice of tumour models (e.g., genetically engineered, orthotopic and metastatic); therapy (including drugs and radiation); imaging (covering techniques, anaesthesia and restraint); humane endpoints (including tumour burden and site); and publication of best practice.","author":[{"dropping-particle":"","family":"Workman","given":"P.","non-dropping-particle":"","parse-names":false,"suffix":""},{"dropping-particle":"","family":"Aboagye","given":"E. O.","non-dropping-particle":"","parse-names":false,"suffix":""},{"dropping-particle":"","family":"Balkwill","given":"F.","non-dropping-particle":"","parse-names":false,"suffix":""},{"dropping-particle":"","family":"Balmain","given":"A.","non-dropping-particle":"","parse-names":false,"suffix":""},{"dropping-particle":"","family":"Bruder","given":"G.","non-dropping-particle":"","parse-names":false,"suffix":""},{"dropping-particle":"","family":"Chaplin","given":"D. J.","non-dropping-particle":"","parse-names":false,"suffix":""},{"dropping-particle":"","family":"Double","given":"J. A.","non-dropping-particle":"","parse-names":false,"suffix":""},{"dropping-particle":"","family":"Everitt","given":"J.","non-dropping-particle":"","parse-names":false,"suffix":""},{"dropping-particle":"","family":"Farningham","given":"D. A.H.","non-dropping-particle":"","parse-names":false,"suffix":""},{"dropping-particle":"","family":"Glennie","given":"M. J.","non-dropping-particle":"","parse-names":false,"suffix":""},{"dropping-particle":"","family":"Kelland","given":"L. R.","non-dropping-particle":"","parse-names":false,"suffix":""},{"dropping-particle":"","family":"Robinson","given":"V.","non-dropping-particle":"","parse-names":false,"suffix":""},{"dropping-particle":"","family":"Stratford","given":"I. J.","non-dropping-particle":"","parse-names":false,"suffix":""},{"dropping-particle":"","family":"Tozer","given":"G. M.","non-dropping-particle":"","parse-names":false,"suffix":""},{"dropping-particle":"","family":"Watson","given":"S.","non-dropping-particle":"","parse-names":false,"suffix":""},{"dropping-particle":"","family":"Wedge","given":"S. R.","non-dropping-particle":"","parse-names":false,"suffix":""},{"dropping-particle":"","family":"Eccles","given":"S. A.","non-dropping-particle":"","parse-names":false,"suffix":""},{"dropping-particle":"","family":"Navaratnam","given":"V.","non-dropping-particle":"","parse-names":false,"suffix":""},{"dropping-particle":"","family":"Ryder","given":"S.","non-dropping-particle":"","parse-names":false,"suffix":""}],"container-title":"British Journal of Cancer","id":"ITEM-4","issue":"11","issued":{"date-parts":[["2010"]]},"page":"1555-1577","publisher":"Nature Publishing Group","title":"Guidelines for the welfare and use of animals in cancer research","type":"article-journal","volume":"102"},"uris":["http://www.mendeley.com/documents/?uuid=63c2d613-c1cf-4821-94dc-355feb4a515f"]},{"id":"ITEM-5","itemData":{"DOI":"10.1093/ilar.41.2.87","ISSN":"10842020","abstract":"No abstract","author":[{"dropping-particle":"","family":"Wallace","given":"James","non-dropping-particle":"","parse-names":false,"suffix":""}],"container-title":"ILAR Journal","id":"ITEM-5","issue":"2","issued":{"date-parts":[["2000"]]},"page":"87-93","title":"Humane endpoints and cancer research","type":"article-journal","volume":"41"},"uris":["http://www.mendeley.com/documents/?uuid=2abf697d-b374-4125-8829-4aca539831c2"]},{"id":"ITEM-6","itemData":{"ISSN":"15596109","abstract":"Metastasis remains the most significant problem in the field of cancer. The biologic complexity that characterizes metastasis requires relevant in vivo models. When using murine models for pulmonary metastasis, longitudinal studies are valuable for following the progression of metastatic burden. Currently, the progression of pulmonary metastatic burden in experimental mice over time is monitored through advanced imaging approaches or the clinical assessment of morbidity. Because clinical signs of morbidity are often vague and unpredictable, an inexpensive and reproducible method to detect advanced metastatic burden-before the development of mortality-is needed. We have developed a noninvasive technique for assessing pulmonary metastatic burden in laboratory mice. The pulmonary assessment of advanced metastasis (PAAM) test is performed by restraining an awake mouse and gently applying pressure with the index finger under the xiphoid process. This pressure reduces the diaphragmatic component to respiration. Mice with advanced lung metastases show transient signs of respiratory distress within 3 s of the application of this pressure. Using PAAM in 4 distinct models (including sarcoma and mammary carcinoma histologies) of experimental (tail vein) pulmonary metastasis (n = 114 mice), among 3 independent evaluators yielded 94% positive and negative predictive values, which were validated by histologic assessment of postmortem lung tissue. PAAM is a simple, reproducible, and efficient method to assist in the detection of advanced pulmonary metastasis in mice and contributes to their humane care during longitudinal studies.","author":[{"dropping-particle":"","family":"Mendoza","given":"Arnulfo","non-dropping-particle":"","parse-names":false,"suffix":""},{"dropping-particle":"","family":"Gharpure","given":"Radhika","non-dropping-particle":"","parse-names":false,"suffix":""},{"dropping-particle":"","family":"Dennis","given":"John","non-dropping-particle":"","parse-names":false,"suffix":""},{"dropping-particle":"","family":"Webster","given":"Joshua D.","non-dropping-particle":"","parse-names":false,"suffix":""},{"dropping-particle":"","family":"Smedley","given":"Jeremy","non-dropping-particle":"","parse-names":false,"suffix":""},{"dropping-particle":"","family":"Khanna","given":"Chand","non-dropping-particle":"","parse-names":false,"suffix":""}],"container-title":"Journal of the American Association for Laboratory Animal Science","id":"ITEM-6","issue":"5","issued":{"date-parts":[["2013"]]},"page":"584-589","title":"A novel noninvasive method for evaluating experimental lung metastasis in mice","type":"article-journal","volume":"52"},"uris":["http://www.mendeley.com/documents/?uuid=9096e8e3-f25b-47cc-99db-80d5188fc94e"]}],"mendeley":{"formattedCitation":"(Currie, Sena, Fallon, Macleod, &amp; Colvin, 2014; Mendoza et al., 2013; Paster, Villines, &amp; Hickman, 2009; Van Loo et al., 1997; Wallace, 2000; Workman et al., 2010)","plainTextFormattedCitation":"(Currie, Sena, Fallon, Macleod, &amp; Colvin, 2014; Mendoza et al., 2013; Paster, Villines, &amp; Hickman, 2009; Van Loo et al., 1997; Wallace, 2000; Workman et al., 2010)","previouslyFormattedCitation":"(Currie, Sena, Fallon, Macleod, &amp; Colvin, 2014; Mendoza et al., 2013; Paster, Villines, &amp; Hickman, 2009; Van Loo et al., 1997; Wallace, 2000; Workman et al., 2010)"},"properties":{"noteIndex":0},"schema":"https://github.com/citation-style-language/schema/raw/master/csl-citation.json"}</w:instrText>
      </w:r>
      <w:r w:rsidRPr="00101FBD">
        <w:rPr>
          <w:rFonts w:cs="Times New Roman"/>
        </w:rPr>
        <w:fldChar w:fldCharType="separate"/>
      </w:r>
      <w:r w:rsidRPr="00101FBD">
        <w:rPr>
          <w:rFonts w:cs="Times New Roman"/>
          <w:noProof/>
        </w:rPr>
        <w:t>(Currie, Sena, Fallon, Macleod, &amp; Colvin, 2014; Mendoza et al., 2013; Paster, Villines, &amp; Hickman, 2009; Van Loo et al., 1997; Wallace, 2000; Workman et al., 2010)</w:t>
      </w:r>
      <w:r w:rsidRPr="00101FBD">
        <w:rPr>
          <w:rFonts w:cs="Times New Roman"/>
        </w:rPr>
        <w:fldChar w:fldCharType="end"/>
      </w:r>
    </w:p>
    <w:p w14:paraId="04D8D9CC" w14:textId="77777777" w:rsidR="00177F98" w:rsidRPr="00101FBD" w:rsidRDefault="00177F98" w:rsidP="00177F98">
      <w:pPr>
        <w:widowControl w:val="0"/>
        <w:autoSpaceDE w:val="0"/>
        <w:autoSpaceDN w:val="0"/>
        <w:adjustRightInd w:val="0"/>
        <w:spacing w:after="0" w:line="240" w:lineRule="auto"/>
        <w:ind w:left="480" w:hanging="480"/>
        <w:rPr>
          <w:rFonts w:cs="Times New Roman"/>
        </w:rPr>
      </w:pPr>
    </w:p>
    <w:p w14:paraId="0E2818CA"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cs="Times New Roman"/>
        </w:rPr>
        <w:fldChar w:fldCharType="begin" w:fldLock="1"/>
      </w:r>
      <w:r w:rsidRPr="00362A2B">
        <w:rPr>
          <w:rFonts w:cs="Times New Roman"/>
        </w:rPr>
        <w:instrText xml:space="preserve">ADDIN Mendeley Bibliography CSL_BIBLIOGRAPHY </w:instrText>
      </w:r>
      <w:r w:rsidRPr="00362A2B">
        <w:rPr>
          <w:rFonts w:cs="Times New Roman"/>
        </w:rPr>
        <w:fldChar w:fldCharType="separate"/>
      </w:r>
      <w:r w:rsidRPr="00362A2B">
        <w:rPr>
          <w:rFonts w:ascii="Calibri" w:hAnsi="Calibri" w:cs="Calibri"/>
          <w:noProof/>
        </w:rPr>
        <w:t xml:space="preserve">Currie, G. L., Sena, E. S., Fallon, M. T., Macleod, M. R., &amp; Colvin, L. A. (2014). Using animal models to understand cancer pain in humans. </w:t>
      </w:r>
      <w:r w:rsidRPr="00362A2B">
        <w:rPr>
          <w:rFonts w:ascii="Calibri" w:hAnsi="Calibri" w:cs="Calibri"/>
          <w:i/>
          <w:iCs/>
          <w:noProof/>
        </w:rPr>
        <w:t>Current Pain and Headache Reports</w:t>
      </w:r>
      <w:r w:rsidRPr="00362A2B">
        <w:rPr>
          <w:rFonts w:ascii="Calibri" w:hAnsi="Calibri" w:cs="Calibri"/>
          <w:noProof/>
        </w:rPr>
        <w:t xml:space="preserve">, </w:t>
      </w:r>
      <w:r w:rsidRPr="00362A2B">
        <w:rPr>
          <w:rFonts w:ascii="Calibri" w:hAnsi="Calibri" w:cs="Calibri"/>
          <w:i/>
          <w:iCs/>
          <w:noProof/>
        </w:rPr>
        <w:t>18</w:t>
      </w:r>
      <w:r w:rsidRPr="00362A2B">
        <w:rPr>
          <w:rFonts w:ascii="Calibri" w:hAnsi="Calibri" w:cs="Calibri"/>
          <w:noProof/>
        </w:rPr>
        <w:t>(6). https://doi.org/10.1007/s11916-014-0423-6</w:t>
      </w:r>
    </w:p>
    <w:p w14:paraId="334BC145"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Mendoza, A., Gharpure, R., Dennis, J., Webster, J. D., Smedley, J., &amp; Khanna, C. (2013). A novel noninvasive method for evaluating experimental lung metastasis in mice. </w:t>
      </w:r>
      <w:r w:rsidRPr="00362A2B">
        <w:rPr>
          <w:rFonts w:ascii="Calibri" w:hAnsi="Calibri" w:cs="Calibri"/>
          <w:i/>
          <w:iCs/>
          <w:noProof/>
        </w:rPr>
        <w:t>Journal of the American Association for Laboratory Animal Science</w:t>
      </w:r>
      <w:r w:rsidRPr="00362A2B">
        <w:rPr>
          <w:rFonts w:ascii="Calibri" w:hAnsi="Calibri" w:cs="Calibri"/>
          <w:noProof/>
        </w:rPr>
        <w:t xml:space="preserve">, </w:t>
      </w:r>
      <w:r w:rsidRPr="00362A2B">
        <w:rPr>
          <w:rFonts w:ascii="Calibri" w:hAnsi="Calibri" w:cs="Calibri"/>
          <w:i/>
          <w:iCs/>
          <w:noProof/>
        </w:rPr>
        <w:t>52</w:t>
      </w:r>
      <w:r w:rsidRPr="00362A2B">
        <w:rPr>
          <w:rFonts w:ascii="Calibri" w:hAnsi="Calibri" w:cs="Calibri"/>
          <w:noProof/>
        </w:rPr>
        <w:t>(5), 584–589.</w:t>
      </w:r>
    </w:p>
    <w:p w14:paraId="7C423D45"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Paster, E. V., Villines, K. A., &amp; Hickman, D. L. (2009). Endpoints for mouse abdominal tumor models: Refinement of current criteria. </w:t>
      </w:r>
      <w:r w:rsidRPr="00362A2B">
        <w:rPr>
          <w:rFonts w:ascii="Calibri" w:hAnsi="Calibri" w:cs="Calibri"/>
          <w:i/>
          <w:iCs/>
          <w:noProof/>
        </w:rPr>
        <w:t>Comparative Medicine</w:t>
      </w:r>
      <w:r w:rsidRPr="00362A2B">
        <w:rPr>
          <w:rFonts w:ascii="Calibri" w:hAnsi="Calibri" w:cs="Calibri"/>
          <w:noProof/>
        </w:rPr>
        <w:t xml:space="preserve">, </w:t>
      </w:r>
      <w:r w:rsidRPr="00362A2B">
        <w:rPr>
          <w:rFonts w:ascii="Calibri" w:hAnsi="Calibri" w:cs="Calibri"/>
          <w:i/>
          <w:iCs/>
          <w:noProof/>
        </w:rPr>
        <w:t>59</w:t>
      </w:r>
      <w:r w:rsidRPr="00362A2B">
        <w:rPr>
          <w:rFonts w:ascii="Calibri" w:hAnsi="Calibri" w:cs="Calibri"/>
          <w:noProof/>
        </w:rPr>
        <w:t>(3), 234–241.</w:t>
      </w:r>
    </w:p>
    <w:p w14:paraId="14356BAB"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Van Loo, P. L. P., Everse, L. A., Bernsen, M. R., Baumans, V., Hellebrekers, L. J., Kruitwagen, C. L. J. J., </w:t>
      </w:r>
      <w:r w:rsidRPr="00362A2B">
        <w:rPr>
          <w:rFonts w:ascii="Calibri" w:hAnsi="Calibri" w:cs="Calibri"/>
          <w:noProof/>
        </w:rPr>
        <w:lastRenderedPageBreak/>
        <w:t xml:space="preserve">&amp; Den Otter, W. (1997). Analgesics in mice used in cancer research: Reduction of discomfort? </w:t>
      </w:r>
      <w:r w:rsidRPr="00362A2B">
        <w:rPr>
          <w:rFonts w:ascii="Calibri" w:hAnsi="Calibri" w:cs="Calibri"/>
          <w:i/>
          <w:iCs/>
          <w:noProof/>
        </w:rPr>
        <w:t>Laboratory Animals</w:t>
      </w:r>
      <w:r w:rsidRPr="00362A2B">
        <w:rPr>
          <w:rFonts w:ascii="Calibri" w:hAnsi="Calibri" w:cs="Calibri"/>
          <w:noProof/>
        </w:rPr>
        <w:t xml:space="preserve">, </w:t>
      </w:r>
      <w:r w:rsidRPr="00362A2B">
        <w:rPr>
          <w:rFonts w:ascii="Calibri" w:hAnsi="Calibri" w:cs="Calibri"/>
          <w:i/>
          <w:iCs/>
          <w:noProof/>
        </w:rPr>
        <w:t>31</w:t>
      </w:r>
      <w:r w:rsidRPr="00362A2B">
        <w:rPr>
          <w:rFonts w:ascii="Calibri" w:hAnsi="Calibri" w:cs="Calibri"/>
          <w:noProof/>
        </w:rPr>
        <w:t>(4), 318–325. https://doi.org/10.1258/002367797780596211</w:t>
      </w:r>
    </w:p>
    <w:p w14:paraId="60702C4D"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Wallace, J. (2000). Humane endpoints and cancer research. </w:t>
      </w:r>
      <w:r w:rsidRPr="00362A2B">
        <w:rPr>
          <w:rFonts w:ascii="Calibri" w:hAnsi="Calibri" w:cs="Calibri"/>
          <w:i/>
          <w:iCs/>
          <w:noProof/>
        </w:rPr>
        <w:t>ILAR Journal</w:t>
      </w:r>
      <w:r w:rsidRPr="00362A2B">
        <w:rPr>
          <w:rFonts w:ascii="Calibri" w:hAnsi="Calibri" w:cs="Calibri"/>
          <w:noProof/>
        </w:rPr>
        <w:t xml:space="preserve">, </w:t>
      </w:r>
      <w:r w:rsidRPr="00362A2B">
        <w:rPr>
          <w:rFonts w:ascii="Calibri" w:hAnsi="Calibri" w:cs="Calibri"/>
          <w:i/>
          <w:iCs/>
          <w:noProof/>
        </w:rPr>
        <w:t>41</w:t>
      </w:r>
      <w:r w:rsidRPr="00362A2B">
        <w:rPr>
          <w:rFonts w:ascii="Calibri" w:hAnsi="Calibri" w:cs="Calibri"/>
          <w:noProof/>
        </w:rPr>
        <w:t>(2), 87–93. https://doi.org/10.1093/ilar.41.2.87</w:t>
      </w:r>
    </w:p>
    <w:p w14:paraId="4A60741E"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cs="Times New Roman"/>
        </w:rPr>
      </w:pPr>
      <w:r w:rsidRPr="00362A2B">
        <w:rPr>
          <w:rFonts w:ascii="Calibri" w:hAnsi="Calibri" w:cs="Calibri"/>
          <w:noProof/>
        </w:rPr>
        <w:t xml:space="preserve">Workman, P., Aboagye, E. O., Balkwill, F., Balmain, A., Bruder, G., Chaplin, D. J., … Ryder, S. (2010). Guidelines for the welfare and use of animals in cancer research. </w:t>
      </w:r>
      <w:r w:rsidRPr="00362A2B">
        <w:rPr>
          <w:rFonts w:ascii="Calibri" w:hAnsi="Calibri" w:cs="Calibri"/>
          <w:i/>
          <w:iCs/>
          <w:noProof/>
        </w:rPr>
        <w:t>British Journal of Cancer</w:t>
      </w:r>
      <w:r w:rsidRPr="00362A2B">
        <w:rPr>
          <w:rFonts w:ascii="Calibri" w:hAnsi="Calibri" w:cs="Calibri"/>
          <w:noProof/>
        </w:rPr>
        <w:t xml:space="preserve">, </w:t>
      </w:r>
      <w:r w:rsidRPr="00362A2B">
        <w:rPr>
          <w:rFonts w:ascii="Calibri" w:hAnsi="Calibri" w:cs="Calibri"/>
          <w:i/>
          <w:iCs/>
          <w:noProof/>
        </w:rPr>
        <w:t>102</w:t>
      </w:r>
      <w:r w:rsidRPr="00362A2B">
        <w:rPr>
          <w:rFonts w:ascii="Calibri" w:hAnsi="Calibri" w:cs="Calibri"/>
          <w:noProof/>
        </w:rPr>
        <w:t xml:space="preserve">(11), 1555–1577. https://doi.org/10.1038/sj.bjc.6605642 </w:t>
      </w:r>
      <w:r w:rsidRPr="00362A2B">
        <w:rPr>
          <w:rFonts w:cs="Times New Roman"/>
        </w:rPr>
        <w:fldChar w:fldCharType="end"/>
      </w:r>
    </w:p>
    <w:bookmarkEnd w:id="0"/>
    <w:p w14:paraId="213793EE" w14:textId="77777777" w:rsidR="00177F98" w:rsidRPr="00177F98" w:rsidRDefault="00177F98" w:rsidP="002A614A">
      <w:pPr>
        <w:pStyle w:val="NoSpacing"/>
        <w:jc w:val="both"/>
        <w:rPr>
          <w:rFonts w:cstheme="minorHAnsi"/>
        </w:rPr>
      </w:pPr>
    </w:p>
    <w:sectPr w:rsidR="00177F98" w:rsidRPr="00177F98" w:rsidSect="005A18A6">
      <w:pgSz w:w="12240" w:h="15840"/>
      <w:pgMar w:top="806" w:right="1440" w:bottom="57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Body)">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9FB"/>
    <w:multiLevelType w:val="hybridMultilevel"/>
    <w:tmpl w:val="BE60E870"/>
    <w:lvl w:ilvl="0" w:tplc="7DB4CBF2">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11E071D7"/>
    <w:multiLevelType w:val="hybridMultilevel"/>
    <w:tmpl w:val="E2347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E6423"/>
    <w:multiLevelType w:val="hybridMultilevel"/>
    <w:tmpl w:val="BE60E870"/>
    <w:lvl w:ilvl="0" w:tplc="7DB4CBF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49402CA"/>
    <w:multiLevelType w:val="hybridMultilevel"/>
    <w:tmpl w:val="66484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80D07"/>
    <w:multiLevelType w:val="hybridMultilevel"/>
    <w:tmpl w:val="F168D5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F00A32"/>
    <w:multiLevelType w:val="hybridMultilevel"/>
    <w:tmpl w:val="86169D42"/>
    <w:lvl w:ilvl="0" w:tplc="71006B8E">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E73E0E"/>
    <w:multiLevelType w:val="hybridMultilevel"/>
    <w:tmpl w:val="08448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AD2448"/>
    <w:multiLevelType w:val="hybridMultilevel"/>
    <w:tmpl w:val="4C8CEB3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42B9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61356F94"/>
    <w:multiLevelType w:val="hybridMultilevel"/>
    <w:tmpl w:val="D1506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BF671F"/>
    <w:multiLevelType w:val="hybridMultilevel"/>
    <w:tmpl w:val="BEFC4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984BED"/>
    <w:multiLevelType w:val="hybridMultilevel"/>
    <w:tmpl w:val="05BAF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8055816">
    <w:abstractNumId w:val="1"/>
  </w:num>
  <w:num w:numId="2" w16cid:durableId="1357583891">
    <w:abstractNumId w:val="6"/>
  </w:num>
  <w:num w:numId="3" w16cid:durableId="2017422600">
    <w:abstractNumId w:val="10"/>
  </w:num>
  <w:num w:numId="4" w16cid:durableId="777335371">
    <w:abstractNumId w:val="9"/>
  </w:num>
  <w:num w:numId="5" w16cid:durableId="648438689">
    <w:abstractNumId w:val="3"/>
  </w:num>
  <w:num w:numId="6" w16cid:durableId="221213302">
    <w:abstractNumId w:val="11"/>
  </w:num>
  <w:num w:numId="7" w16cid:durableId="532767115">
    <w:abstractNumId w:val="0"/>
  </w:num>
  <w:num w:numId="8" w16cid:durableId="271087605">
    <w:abstractNumId w:val="2"/>
  </w:num>
  <w:num w:numId="9" w16cid:durableId="638876890">
    <w:abstractNumId w:val="8"/>
  </w:num>
  <w:num w:numId="10" w16cid:durableId="1065494607">
    <w:abstractNumId w:val="7"/>
  </w:num>
  <w:num w:numId="11" w16cid:durableId="1306810656">
    <w:abstractNumId w:val="5"/>
  </w:num>
  <w:num w:numId="12" w16cid:durableId="927927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9E"/>
    <w:rsid w:val="00004F25"/>
    <w:rsid w:val="0002200B"/>
    <w:rsid w:val="0003524F"/>
    <w:rsid w:val="00040F43"/>
    <w:rsid w:val="000667CB"/>
    <w:rsid w:val="00067F8F"/>
    <w:rsid w:val="00082A4D"/>
    <w:rsid w:val="00085107"/>
    <w:rsid w:val="00086BF2"/>
    <w:rsid w:val="000A55C4"/>
    <w:rsid w:val="000B2187"/>
    <w:rsid w:val="000B3AA0"/>
    <w:rsid w:val="000B46C5"/>
    <w:rsid w:val="000B4CA1"/>
    <w:rsid w:val="000E3611"/>
    <w:rsid w:val="00120D31"/>
    <w:rsid w:val="00136B83"/>
    <w:rsid w:val="00142AFA"/>
    <w:rsid w:val="00146111"/>
    <w:rsid w:val="00177F98"/>
    <w:rsid w:val="00195725"/>
    <w:rsid w:val="001C325C"/>
    <w:rsid w:val="001C3B66"/>
    <w:rsid w:val="001C47F3"/>
    <w:rsid w:val="001C704E"/>
    <w:rsid w:val="001E4ADA"/>
    <w:rsid w:val="001F0D0D"/>
    <w:rsid w:val="00212C08"/>
    <w:rsid w:val="00234C38"/>
    <w:rsid w:val="00245244"/>
    <w:rsid w:val="00252004"/>
    <w:rsid w:val="002630EC"/>
    <w:rsid w:val="002678D8"/>
    <w:rsid w:val="00273ABE"/>
    <w:rsid w:val="0029365E"/>
    <w:rsid w:val="00295BB9"/>
    <w:rsid w:val="002A124C"/>
    <w:rsid w:val="002A614A"/>
    <w:rsid w:val="002B15F9"/>
    <w:rsid w:val="002D3353"/>
    <w:rsid w:val="002D5161"/>
    <w:rsid w:val="002E0344"/>
    <w:rsid w:val="002E4EE4"/>
    <w:rsid w:val="002E6DA0"/>
    <w:rsid w:val="003029EF"/>
    <w:rsid w:val="003224F8"/>
    <w:rsid w:val="00327DD1"/>
    <w:rsid w:val="00334574"/>
    <w:rsid w:val="00367CC4"/>
    <w:rsid w:val="00385740"/>
    <w:rsid w:val="0038707E"/>
    <w:rsid w:val="0039225A"/>
    <w:rsid w:val="003B3EFF"/>
    <w:rsid w:val="003B6356"/>
    <w:rsid w:val="003C0A77"/>
    <w:rsid w:val="003C3651"/>
    <w:rsid w:val="003D65C5"/>
    <w:rsid w:val="003E1684"/>
    <w:rsid w:val="003F0C49"/>
    <w:rsid w:val="004079C7"/>
    <w:rsid w:val="00414D8E"/>
    <w:rsid w:val="00427704"/>
    <w:rsid w:val="00441254"/>
    <w:rsid w:val="00443C54"/>
    <w:rsid w:val="00444EC0"/>
    <w:rsid w:val="00445B76"/>
    <w:rsid w:val="004A6507"/>
    <w:rsid w:val="004B7B4A"/>
    <w:rsid w:val="004D3510"/>
    <w:rsid w:val="00501CA7"/>
    <w:rsid w:val="005311C7"/>
    <w:rsid w:val="005438FD"/>
    <w:rsid w:val="00547525"/>
    <w:rsid w:val="00560DFC"/>
    <w:rsid w:val="00563AA5"/>
    <w:rsid w:val="0056783E"/>
    <w:rsid w:val="005766B8"/>
    <w:rsid w:val="0058143D"/>
    <w:rsid w:val="00587BDA"/>
    <w:rsid w:val="005A18A6"/>
    <w:rsid w:val="005A3015"/>
    <w:rsid w:val="005A55DA"/>
    <w:rsid w:val="005B2FB3"/>
    <w:rsid w:val="005B5015"/>
    <w:rsid w:val="005C17F9"/>
    <w:rsid w:val="005C6C20"/>
    <w:rsid w:val="005D15BF"/>
    <w:rsid w:val="005D7F0E"/>
    <w:rsid w:val="005E39BA"/>
    <w:rsid w:val="005F0C94"/>
    <w:rsid w:val="005F45EC"/>
    <w:rsid w:val="0060149E"/>
    <w:rsid w:val="00614A4C"/>
    <w:rsid w:val="00626438"/>
    <w:rsid w:val="0063323B"/>
    <w:rsid w:val="00650387"/>
    <w:rsid w:val="00655D4F"/>
    <w:rsid w:val="006A227B"/>
    <w:rsid w:val="006A5946"/>
    <w:rsid w:val="006B3944"/>
    <w:rsid w:val="006C2740"/>
    <w:rsid w:val="006D01F6"/>
    <w:rsid w:val="006D0F9C"/>
    <w:rsid w:val="006D7837"/>
    <w:rsid w:val="006E1799"/>
    <w:rsid w:val="006F215B"/>
    <w:rsid w:val="006F6513"/>
    <w:rsid w:val="00711959"/>
    <w:rsid w:val="00717579"/>
    <w:rsid w:val="0074621D"/>
    <w:rsid w:val="00761F80"/>
    <w:rsid w:val="00763099"/>
    <w:rsid w:val="00774780"/>
    <w:rsid w:val="00783420"/>
    <w:rsid w:val="0079228E"/>
    <w:rsid w:val="007A2088"/>
    <w:rsid w:val="007B1DB0"/>
    <w:rsid w:val="007E28E6"/>
    <w:rsid w:val="007F4C26"/>
    <w:rsid w:val="00810688"/>
    <w:rsid w:val="00830C01"/>
    <w:rsid w:val="00833633"/>
    <w:rsid w:val="00847592"/>
    <w:rsid w:val="00854818"/>
    <w:rsid w:val="00874728"/>
    <w:rsid w:val="00876BBF"/>
    <w:rsid w:val="00881E0A"/>
    <w:rsid w:val="00885D36"/>
    <w:rsid w:val="008920A9"/>
    <w:rsid w:val="0089265D"/>
    <w:rsid w:val="008B430C"/>
    <w:rsid w:val="008B48C3"/>
    <w:rsid w:val="008D0302"/>
    <w:rsid w:val="008D72B5"/>
    <w:rsid w:val="008E0795"/>
    <w:rsid w:val="008E714C"/>
    <w:rsid w:val="00901CC1"/>
    <w:rsid w:val="00925BD9"/>
    <w:rsid w:val="00941080"/>
    <w:rsid w:val="00953D94"/>
    <w:rsid w:val="00964B83"/>
    <w:rsid w:val="009664AB"/>
    <w:rsid w:val="009A3FE7"/>
    <w:rsid w:val="009A56A6"/>
    <w:rsid w:val="009B0644"/>
    <w:rsid w:val="009C35EE"/>
    <w:rsid w:val="009C5F33"/>
    <w:rsid w:val="009D5495"/>
    <w:rsid w:val="00A02B3D"/>
    <w:rsid w:val="00A13DAB"/>
    <w:rsid w:val="00A269BB"/>
    <w:rsid w:val="00A3018F"/>
    <w:rsid w:val="00A50423"/>
    <w:rsid w:val="00A51FBF"/>
    <w:rsid w:val="00A647AE"/>
    <w:rsid w:val="00AB6E23"/>
    <w:rsid w:val="00AC3628"/>
    <w:rsid w:val="00AD236E"/>
    <w:rsid w:val="00B0237B"/>
    <w:rsid w:val="00B46986"/>
    <w:rsid w:val="00B6030B"/>
    <w:rsid w:val="00B733BF"/>
    <w:rsid w:val="00BA10F6"/>
    <w:rsid w:val="00BA5A72"/>
    <w:rsid w:val="00BB64A0"/>
    <w:rsid w:val="00BC03D4"/>
    <w:rsid w:val="00BC203F"/>
    <w:rsid w:val="00BD0191"/>
    <w:rsid w:val="00BD33BD"/>
    <w:rsid w:val="00BD6419"/>
    <w:rsid w:val="00BE73C1"/>
    <w:rsid w:val="00C109DC"/>
    <w:rsid w:val="00C12806"/>
    <w:rsid w:val="00C15087"/>
    <w:rsid w:val="00C211C4"/>
    <w:rsid w:val="00C41E74"/>
    <w:rsid w:val="00C44EBB"/>
    <w:rsid w:val="00C476C2"/>
    <w:rsid w:val="00C47DAE"/>
    <w:rsid w:val="00C47ECF"/>
    <w:rsid w:val="00C55EE2"/>
    <w:rsid w:val="00C63F3A"/>
    <w:rsid w:val="00C7038E"/>
    <w:rsid w:val="00C72DFC"/>
    <w:rsid w:val="00C74FC3"/>
    <w:rsid w:val="00C95CBD"/>
    <w:rsid w:val="00CA0863"/>
    <w:rsid w:val="00CA2C9E"/>
    <w:rsid w:val="00CA6795"/>
    <w:rsid w:val="00CB2D39"/>
    <w:rsid w:val="00CC3216"/>
    <w:rsid w:val="00CE27C3"/>
    <w:rsid w:val="00CF2BD2"/>
    <w:rsid w:val="00CF2E17"/>
    <w:rsid w:val="00CF775E"/>
    <w:rsid w:val="00D00DC4"/>
    <w:rsid w:val="00D07251"/>
    <w:rsid w:val="00D14089"/>
    <w:rsid w:val="00D21854"/>
    <w:rsid w:val="00D41666"/>
    <w:rsid w:val="00D420C9"/>
    <w:rsid w:val="00D4246B"/>
    <w:rsid w:val="00D42651"/>
    <w:rsid w:val="00D43124"/>
    <w:rsid w:val="00D86AA4"/>
    <w:rsid w:val="00D86B22"/>
    <w:rsid w:val="00D95AA8"/>
    <w:rsid w:val="00DA2421"/>
    <w:rsid w:val="00DA42C6"/>
    <w:rsid w:val="00DB1A07"/>
    <w:rsid w:val="00DB3A87"/>
    <w:rsid w:val="00DC55E3"/>
    <w:rsid w:val="00DC7174"/>
    <w:rsid w:val="00DD5BE3"/>
    <w:rsid w:val="00DE1069"/>
    <w:rsid w:val="00DF4944"/>
    <w:rsid w:val="00E009B8"/>
    <w:rsid w:val="00E065D1"/>
    <w:rsid w:val="00E32E71"/>
    <w:rsid w:val="00E36D61"/>
    <w:rsid w:val="00E373F8"/>
    <w:rsid w:val="00E56E43"/>
    <w:rsid w:val="00E62C78"/>
    <w:rsid w:val="00E922E9"/>
    <w:rsid w:val="00E94042"/>
    <w:rsid w:val="00E9641C"/>
    <w:rsid w:val="00EA21DD"/>
    <w:rsid w:val="00EA578F"/>
    <w:rsid w:val="00EA69AC"/>
    <w:rsid w:val="00EA6D9E"/>
    <w:rsid w:val="00EB6CA9"/>
    <w:rsid w:val="00EB715C"/>
    <w:rsid w:val="00EC1294"/>
    <w:rsid w:val="00ED5F53"/>
    <w:rsid w:val="00F078B0"/>
    <w:rsid w:val="00F11F7B"/>
    <w:rsid w:val="00F31B67"/>
    <w:rsid w:val="00F341EB"/>
    <w:rsid w:val="00F34D14"/>
    <w:rsid w:val="00F36728"/>
    <w:rsid w:val="00F47F21"/>
    <w:rsid w:val="00F50575"/>
    <w:rsid w:val="00F60396"/>
    <w:rsid w:val="00F72813"/>
    <w:rsid w:val="00F84397"/>
    <w:rsid w:val="00F85396"/>
    <w:rsid w:val="00F92953"/>
    <w:rsid w:val="00FB4E06"/>
    <w:rsid w:val="00FC01C4"/>
    <w:rsid w:val="00FC49DB"/>
    <w:rsid w:val="00FC612B"/>
    <w:rsid w:val="00FD4A23"/>
    <w:rsid w:val="00FD5165"/>
    <w:rsid w:val="00FD746F"/>
    <w:rsid w:val="00FF1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C8FA02"/>
  <w15:docId w15:val="{9C5DF634-18DA-48C6-BF6E-1F784D7D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6C20"/>
  </w:style>
  <w:style w:type="paragraph" w:styleId="Heading1">
    <w:name w:val="heading 1"/>
    <w:basedOn w:val="Normal"/>
    <w:next w:val="Normal"/>
    <w:link w:val="Heading1Char"/>
    <w:uiPriority w:val="9"/>
    <w:qFormat/>
    <w:rsid w:val="005A3015"/>
    <w:pPr>
      <w:keepNext/>
      <w:spacing w:after="0" w:line="240" w:lineRule="auto"/>
      <w:ind w:left="180"/>
      <w:jc w:val="center"/>
      <w:outlineLvl w:val="0"/>
    </w:pPr>
    <w:rPr>
      <w:rFonts w:ascii="New York" w:eastAsia="Times New Roman" w:hAnsi="New York" w:cs="Times New Roman"/>
      <w:b/>
      <w:sz w:val="24"/>
      <w:szCs w:val="20"/>
    </w:rPr>
  </w:style>
  <w:style w:type="paragraph" w:styleId="Heading2">
    <w:name w:val="heading 2"/>
    <w:basedOn w:val="Normal"/>
    <w:next w:val="Normal"/>
    <w:link w:val="Heading2Char"/>
    <w:uiPriority w:val="9"/>
    <w:unhideWhenUsed/>
    <w:qFormat/>
    <w:rsid w:val="00C211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211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iPriority w:val="9"/>
    <w:unhideWhenUsed/>
    <w:qFormat/>
    <w:rsid w:val="00C55EE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C55EE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5A3015"/>
    <w:pPr>
      <w:keepNext/>
      <w:spacing w:after="0" w:line="240" w:lineRule="auto"/>
      <w:outlineLvl w:val="8"/>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2C9E"/>
    <w:pPr>
      <w:spacing w:after="0" w:line="240" w:lineRule="auto"/>
    </w:pPr>
  </w:style>
  <w:style w:type="character" w:styleId="CommentReference">
    <w:name w:val="annotation reference"/>
    <w:basedOn w:val="DefaultParagraphFont"/>
    <w:uiPriority w:val="99"/>
    <w:semiHidden/>
    <w:unhideWhenUsed/>
    <w:rsid w:val="0003524F"/>
    <w:rPr>
      <w:sz w:val="16"/>
      <w:szCs w:val="16"/>
    </w:rPr>
  </w:style>
  <w:style w:type="paragraph" w:styleId="CommentText">
    <w:name w:val="annotation text"/>
    <w:basedOn w:val="Normal"/>
    <w:link w:val="CommentTextChar"/>
    <w:uiPriority w:val="99"/>
    <w:unhideWhenUsed/>
    <w:rsid w:val="0003524F"/>
    <w:pPr>
      <w:spacing w:line="240" w:lineRule="auto"/>
    </w:pPr>
    <w:rPr>
      <w:sz w:val="20"/>
      <w:szCs w:val="20"/>
    </w:rPr>
  </w:style>
  <w:style w:type="character" w:customStyle="1" w:styleId="CommentTextChar">
    <w:name w:val="Comment Text Char"/>
    <w:basedOn w:val="DefaultParagraphFont"/>
    <w:link w:val="CommentText"/>
    <w:uiPriority w:val="99"/>
    <w:rsid w:val="0003524F"/>
    <w:rPr>
      <w:sz w:val="20"/>
      <w:szCs w:val="20"/>
    </w:rPr>
  </w:style>
  <w:style w:type="paragraph" w:styleId="CommentSubject">
    <w:name w:val="annotation subject"/>
    <w:basedOn w:val="CommentText"/>
    <w:next w:val="CommentText"/>
    <w:link w:val="CommentSubjectChar"/>
    <w:uiPriority w:val="99"/>
    <w:semiHidden/>
    <w:unhideWhenUsed/>
    <w:rsid w:val="0003524F"/>
    <w:rPr>
      <w:b/>
      <w:bCs/>
    </w:rPr>
  </w:style>
  <w:style w:type="character" w:customStyle="1" w:styleId="CommentSubjectChar">
    <w:name w:val="Comment Subject Char"/>
    <w:basedOn w:val="CommentTextChar"/>
    <w:link w:val="CommentSubject"/>
    <w:uiPriority w:val="99"/>
    <w:semiHidden/>
    <w:rsid w:val="0003524F"/>
    <w:rPr>
      <w:b/>
      <w:bCs/>
      <w:sz w:val="20"/>
      <w:szCs w:val="20"/>
    </w:rPr>
  </w:style>
  <w:style w:type="paragraph" w:styleId="BalloonText">
    <w:name w:val="Balloon Text"/>
    <w:basedOn w:val="Normal"/>
    <w:link w:val="BalloonTextChar"/>
    <w:uiPriority w:val="99"/>
    <w:semiHidden/>
    <w:unhideWhenUsed/>
    <w:rsid w:val="00035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4F"/>
    <w:rPr>
      <w:rFonts w:ascii="Tahoma" w:hAnsi="Tahoma" w:cs="Tahoma"/>
      <w:sz w:val="16"/>
      <w:szCs w:val="16"/>
    </w:rPr>
  </w:style>
  <w:style w:type="table" w:styleId="TableGrid">
    <w:name w:val="Table Grid"/>
    <w:basedOn w:val="TableNormal"/>
    <w:uiPriority w:val="59"/>
    <w:rsid w:val="005C6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C2740"/>
    <w:rPr>
      <w:color w:val="0000FF"/>
      <w:u w:val="single"/>
    </w:rPr>
  </w:style>
  <w:style w:type="character" w:customStyle="1" w:styleId="apple-converted-space">
    <w:name w:val="apple-converted-space"/>
    <w:basedOn w:val="DefaultParagraphFont"/>
    <w:rsid w:val="006C2740"/>
  </w:style>
  <w:style w:type="character" w:customStyle="1" w:styleId="journal">
    <w:name w:val="journal"/>
    <w:basedOn w:val="DefaultParagraphFont"/>
    <w:rsid w:val="002A614A"/>
  </w:style>
  <w:style w:type="character" w:customStyle="1" w:styleId="jnumber">
    <w:name w:val="jnumber"/>
    <w:basedOn w:val="DefaultParagraphFont"/>
    <w:rsid w:val="002A614A"/>
  </w:style>
  <w:style w:type="character" w:styleId="PlaceholderText">
    <w:name w:val="Placeholder Text"/>
    <w:basedOn w:val="DefaultParagraphFont"/>
    <w:uiPriority w:val="99"/>
    <w:semiHidden/>
    <w:rsid w:val="0074621D"/>
    <w:rPr>
      <w:color w:val="808080"/>
    </w:rPr>
  </w:style>
  <w:style w:type="character" w:customStyle="1" w:styleId="Heading1Char">
    <w:name w:val="Heading 1 Char"/>
    <w:basedOn w:val="DefaultParagraphFont"/>
    <w:link w:val="Heading1"/>
    <w:uiPriority w:val="9"/>
    <w:rsid w:val="005A3015"/>
    <w:rPr>
      <w:rFonts w:ascii="New York" w:eastAsia="Times New Roman" w:hAnsi="New York" w:cs="Times New Roman"/>
      <w:b/>
      <w:sz w:val="24"/>
      <w:szCs w:val="20"/>
    </w:rPr>
  </w:style>
  <w:style w:type="character" w:customStyle="1" w:styleId="Heading9Char">
    <w:name w:val="Heading 9 Char"/>
    <w:basedOn w:val="DefaultParagraphFont"/>
    <w:link w:val="Heading9"/>
    <w:rsid w:val="005A3015"/>
    <w:rPr>
      <w:rFonts w:ascii="Times New Roman" w:eastAsia="Times New Roman" w:hAnsi="Times New Roman" w:cs="Times New Roman"/>
      <w:sz w:val="28"/>
      <w:szCs w:val="24"/>
    </w:rPr>
  </w:style>
  <w:style w:type="paragraph" w:styleId="Footer">
    <w:name w:val="footer"/>
    <w:basedOn w:val="Normal"/>
    <w:link w:val="FooterChar"/>
    <w:rsid w:val="005A3015"/>
    <w:pPr>
      <w:tabs>
        <w:tab w:val="center" w:pos="4320"/>
        <w:tab w:val="right" w:pos="8640"/>
      </w:tabs>
      <w:spacing w:after="0" w:line="240" w:lineRule="auto"/>
    </w:pPr>
    <w:rPr>
      <w:rFonts w:ascii="New York" w:eastAsia="Times New Roman" w:hAnsi="New York" w:cs="Times New Roman"/>
      <w:sz w:val="24"/>
      <w:szCs w:val="20"/>
    </w:rPr>
  </w:style>
  <w:style w:type="character" w:customStyle="1" w:styleId="FooterChar">
    <w:name w:val="Footer Char"/>
    <w:basedOn w:val="DefaultParagraphFont"/>
    <w:link w:val="Footer"/>
    <w:rsid w:val="005A3015"/>
    <w:rPr>
      <w:rFonts w:ascii="New York" w:eastAsia="Times New Roman" w:hAnsi="New York" w:cs="Times New Roman"/>
      <w:sz w:val="24"/>
      <w:szCs w:val="20"/>
    </w:rPr>
  </w:style>
  <w:style w:type="character" w:customStyle="1" w:styleId="Heading2Char">
    <w:name w:val="Heading 2 Char"/>
    <w:basedOn w:val="DefaultParagraphFont"/>
    <w:link w:val="Heading2"/>
    <w:uiPriority w:val="9"/>
    <w:rsid w:val="00C211C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211C4"/>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C211C4"/>
    <w:rPr>
      <w:i/>
      <w:iCs/>
    </w:rPr>
  </w:style>
  <w:style w:type="paragraph" w:styleId="ListParagraph">
    <w:name w:val="List Paragraph"/>
    <w:basedOn w:val="Normal"/>
    <w:uiPriority w:val="34"/>
    <w:qFormat/>
    <w:rsid w:val="00177F98"/>
    <w:pPr>
      <w:ind w:left="720"/>
      <w:contextualSpacing/>
    </w:pPr>
  </w:style>
  <w:style w:type="character" w:customStyle="1" w:styleId="Heading7Char">
    <w:name w:val="Heading 7 Char"/>
    <w:basedOn w:val="DefaultParagraphFont"/>
    <w:link w:val="Heading7"/>
    <w:uiPriority w:val="9"/>
    <w:rsid w:val="00C55EE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C55EE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479490">
      <w:bodyDiv w:val="1"/>
      <w:marLeft w:val="0"/>
      <w:marRight w:val="0"/>
      <w:marTop w:val="0"/>
      <w:marBottom w:val="0"/>
      <w:divBdr>
        <w:top w:val="none" w:sz="0" w:space="0" w:color="auto"/>
        <w:left w:val="none" w:sz="0" w:space="0" w:color="auto"/>
        <w:bottom w:val="none" w:sz="0" w:space="0" w:color="auto"/>
        <w:right w:val="none" w:sz="0" w:space="0" w:color="auto"/>
      </w:divBdr>
    </w:div>
    <w:div w:id="1152869023">
      <w:bodyDiv w:val="1"/>
      <w:marLeft w:val="0"/>
      <w:marRight w:val="0"/>
      <w:marTop w:val="0"/>
      <w:marBottom w:val="0"/>
      <w:divBdr>
        <w:top w:val="none" w:sz="0" w:space="0" w:color="auto"/>
        <w:left w:val="none" w:sz="0" w:space="0" w:color="auto"/>
        <w:bottom w:val="none" w:sz="0" w:space="0" w:color="auto"/>
        <w:right w:val="none" w:sz="0" w:space="0" w:color="auto"/>
      </w:divBdr>
    </w:div>
    <w:div w:id="140341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6597512E27B7E4D8EC585E40A5BF799" ma:contentTypeVersion="8" ma:contentTypeDescription="Create a new document." ma:contentTypeScope="" ma:versionID="a53697642ebab6fc80f613c2a6bb4b38">
  <xsd:schema xmlns:xsd="http://www.w3.org/2001/XMLSchema" xmlns:xs="http://www.w3.org/2001/XMLSchema" xmlns:p="http://schemas.microsoft.com/office/2006/metadata/properties" xmlns:ns2="71ba9549-2a54-43b5-a1f1-cc0237e52f86" xmlns:ns3="715013b0-5c8f-4e04-8d45-a7653fd0f18f" targetNamespace="http://schemas.microsoft.com/office/2006/metadata/properties" ma:root="true" ma:fieldsID="23be1df4132c418b452200f03321b7e5" ns2:_="" ns3:_="">
    <xsd:import namespace="71ba9549-2a54-43b5-a1f1-cc0237e52f86"/>
    <xsd:import namespace="715013b0-5c8f-4e04-8d45-a7653fd0f1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a9549-2a54-43b5-a1f1-cc0237e52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5013b0-5c8f-4e04-8d45-a7653fd0f1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34E4B8-5A84-421A-93A7-FC5CD3E08D42}">
  <ds:schemaRefs>
    <ds:schemaRef ds:uri="http://schemas.microsoft.com/sharepoint/v3/contenttype/forms"/>
  </ds:schemaRefs>
</ds:datastoreItem>
</file>

<file path=customXml/itemProps2.xml><?xml version="1.0" encoding="utf-8"?>
<ds:datastoreItem xmlns:ds="http://schemas.openxmlformats.org/officeDocument/2006/customXml" ds:itemID="{757FF237-B9A2-EB46-AC6E-C32E80C4D522}">
  <ds:schemaRefs>
    <ds:schemaRef ds:uri="http://schemas.openxmlformats.org/officeDocument/2006/bibliography"/>
  </ds:schemaRefs>
</ds:datastoreItem>
</file>

<file path=customXml/itemProps3.xml><?xml version="1.0" encoding="utf-8"?>
<ds:datastoreItem xmlns:ds="http://schemas.openxmlformats.org/officeDocument/2006/customXml" ds:itemID="{745BC2D1-9B99-45EA-9866-C7613D65C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a9549-2a54-43b5-a1f1-cc0237e52f86"/>
    <ds:schemaRef ds:uri="715013b0-5c8f-4e04-8d45-a7653fd0f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DE08CC-70E9-4D83-A451-3FA3682827CD}">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893ce20-a697-4fd6-a4da-14011f6a471d}" enabled="1" method="Standard" siteId="{a8eec281-aaa3-4dae-ac9b-9a398b9215e7}"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6</Pages>
  <Words>4152</Words>
  <Characters>23669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27766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Fremont-Rahl, Jacqueline</dc:creator>
  <cp:keywords/>
  <cp:lastModifiedBy>Sullivan, Sean</cp:lastModifiedBy>
  <cp:revision>3</cp:revision>
  <dcterms:created xsi:type="dcterms:W3CDTF">2025-01-07T16:51:00Z</dcterms:created>
  <dcterms:modified xsi:type="dcterms:W3CDTF">2025-01-15T19:49:00Z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0x010100D6597512E27B7E4D8EC585E40A5BF799</vt:lpwstr>
  </property>
</Properties>
</file>