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C1B61" w14:textId="77777777" w:rsidR="00815398" w:rsidRPr="00815398" w:rsidRDefault="00815398" w:rsidP="00815398">
      <w:pPr>
        <w:rPr>
          <w14:shadow w14:blurRad="50800" w14:dist="38100" w14:dir="2700000" w14:sx="100000" w14:sy="100000" w14:kx="0" w14:ky="0" w14:algn="tl">
            <w14:srgbClr w14:val="000000">
              <w14:alpha w14:val="60000"/>
            </w14:srgbClr>
          </w14:shadow>
        </w:rPr>
      </w:pPr>
      <w:r w:rsidRPr="00815398">
        <w:rPr>
          <w:sz w:val="154"/>
          <w14:shadow w14:blurRad="50800" w14:dist="38100" w14:dir="2700000" w14:sx="100000" w14:sy="100000" w14:kx="0" w14:ky="0" w14:algn="tl">
            <w14:srgbClr w14:val="000000">
              <w14:alpha w14:val="60000"/>
            </w14:srgbClr>
          </w14:shadow>
        </w:rPr>
        <w:t>NU</w:t>
      </w:r>
      <w:r w:rsidRPr="00815398">
        <w:rPr>
          <w:outline/>
          <w:color w:val="000000"/>
          <w:sz w:val="84"/>
          <w14:textOutline w14:w="9525" w14:cap="flat" w14:cmpd="sng" w14:algn="ctr">
            <w14:solidFill>
              <w14:srgbClr w14:val="000000"/>
            </w14:solidFill>
            <w14:prstDash w14:val="solid"/>
            <w14:round/>
          </w14:textOutline>
          <w14:textFill>
            <w14:noFill/>
          </w14:textFill>
        </w:rPr>
        <w:t>–</w:t>
      </w:r>
      <w:r w:rsidRPr="00815398">
        <w:rPr>
          <w:outline/>
          <w:color w:val="000000"/>
          <w:sz w:val="60"/>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IACUC POLICY</w:t>
      </w:r>
    </w:p>
    <w:p w14:paraId="22430E0A" w14:textId="77777777" w:rsidR="00815398" w:rsidRPr="00764358" w:rsidRDefault="00815398" w:rsidP="00815398">
      <w:pPr>
        <w:pStyle w:val="Heading9"/>
        <w:rPr>
          <w:rFonts w:ascii="Times New Roman" w:hAnsi="Times New Roman"/>
          <w:sz w:val="28"/>
          <w:szCs w:val="28"/>
          <w:u w:val="single"/>
        </w:rPr>
      </w:pPr>
      <w:r w:rsidRPr="00764358">
        <w:rPr>
          <w:rFonts w:ascii="Times New Roman" w:hAnsi="Times New Roman"/>
          <w:sz w:val="28"/>
          <w:szCs w:val="28"/>
        </w:rPr>
        <w:t>Northeastern University Institutional Animal Care and Use Committee</w:t>
      </w:r>
    </w:p>
    <w:p w14:paraId="017E5926" w14:textId="77777777" w:rsidR="00815398" w:rsidRDefault="00815398" w:rsidP="00815398">
      <w:pPr>
        <w:tabs>
          <w:tab w:val="left" w:pos="1080"/>
        </w:tabs>
        <w:rPr>
          <w:u w:val="single"/>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
      <w:tblGrid>
        <w:gridCol w:w="8856"/>
      </w:tblGrid>
      <w:tr w:rsidR="00815398" w14:paraId="140F7C0F" w14:textId="77777777" w:rsidTr="00815398">
        <w:tc>
          <w:tcPr>
            <w:tcW w:w="8856" w:type="dxa"/>
          </w:tcPr>
          <w:p w14:paraId="672EAD2A" w14:textId="77777777" w:rsidR="00815398" w:rsidRDefault="00815398" w:rsidP="00815398">
            <w:pPr>
              <w:rPr>
                <w:b/>
                <w:sz w:val="36"/>
              </w:rPr>
            </w:pPr>
          </w:p>
          <w:p w14:paraId="5AA1A000" w14:textId="07E14D46" w:rsidR="00815398" w:rsidRPr="00FF04BE" w:rsidRDefault="00815398" w:rsidP="00FF04BE">
            <w:pPr>
              <w:pStyle w:val="Heading3"/>
              <w:rPr>
                <w:szCs w:val="28"/>
              </w:rPr>
            </w:pPr>
            <w:r w:rsidRPr="00815398">
              <w:rPr>
                <w:szCs w:val="28"/>
              </w:rPr>
              <w:t>Policy on Genetically Engineered Animals</w:t>
            </w:r>
            <w:r w:rsidR="00FF04BE">
              <w:rPr>
                <w:szCs w:val="28"/>
              </w:rPr>
              <w:t xml:space="preserve">, the Use of </w:t>
            </w:r>
            <w:proofErr w:type="spellStart"/>
            <w:r w:rsidR="00FF04BE">
              <w:rPr>
                <w:szCs w:val="28"/>
              </w:rPr>
              <w:t>Recominant</w:t>
            </w:r>
            <w:proofErr w:type="spellEnd"/>
            <w:r w:rsidR="00FF04BE">
              <w:rPr>
                <w:szCs w:val="28"/>
              </w:rPr>
              <w:t xml:space="preserve"> Materials, </w:t>
            </w:r>
            <w:r>
              <w:rPr>
                <w:szCs w:val="28"/>
              </w:rPr>
              <w:t xml:space="preserve">&amp; </w:t>
            </w:r>
            <w:r w:rsidRPr="00815398">
              <w:rPr>
                <w:szCs w:val="28"/>
              </w:rPr>
              <w:t>The Institutional Biosafety Committee</w:t>
            </w:r>
            <w:r w:rsidR="002B63C8">
              <w:rPr>
                <w:szCs w:val="28"/>
              </w:rPr>
              <w:t xml:space="preserve"> (IBC)</w:t>
            </w:r>
          </w:p>
          <w:p w14:paraId="058417BD" w14:textId="77777777" w:rsidR="00815398" w:rsidRDefault="00815398" w:rsidP="00815398">
            <w:pPr>
              <w:pStyle w:val="Heading1"/>
              <w:rPr>
                <w:sz w:val="36"/>
              </w:rPr>
            </w:pPr>
          </w:p>
          <w:p w14:paraId="378F6B2D" w14:textId="77777777" w:rsidR="00815398" w:rsidRDefault="00815398" w:rsidP="00815398">
            <w:pPr>
              <w:rPr>
                <w:sz w:val="22"/>
              </w:rPr>
            </w:pPr>
          </w:p>
        </w:tc>
      </w:tr>
    </w:tbl>
    <w:p w14:paraId="311715B4" w14:textId="65DBE9CA" w:rsidR="00815398" w:rsidRDefault="00815398" w:rsidP="00815398">
      <w:pPr>
        <w:pStyle w:val="Footer"/>
        <w:tabs>
          <w:tab w:val="clear" w:pos="4320"/>
          <w:tab w:val="clear" w:pos="8640"/>
        </w:tabs>
      </w:pPr>
    </w:p>
    <w:p w14:paraId="40A4C8A5" w14:textId="3863E479" w:rsidR="00D92ECC" w:rsidRPr="00D92ECC" w:rsidRDefault="00D92ECC" w:rsidP="00D92ECC">
      <w:pPr>
        <w:pStyle w:val="Footer"/>
        <w:tabs>
          <w:tab w:val="clear" w:pos="4320"/>
          <w:tab w:val="clear" w:pos="8640"/>
        </w:tabs>
        <w:jc w:val="center"/>
        <w:rPr>
          <w:i/>
          <w:iCs/>
        </w:rPr>
      </w:pPr>
      <w:r w:rsidRPr="00D92ECC">
        <w:rPr>
          <w:i/>
          <w:iCs/>
        </w:rPr>
        <w:t>Re-Approv</w:t>
      </w:r>
      <w:r w:rsidR="00D37094">
        <w:rPr>
          <w:i/>
          <w:iCs/>
        </w:rPr>
        <w:t>ed</w:t>
      </w:r>
      <w:r w:rsidRPr="00D92ECC">
        <w:rPr>
          <w:i/>
          <w:iCs/>
        </w:rPr>
        <w:t>:</w:t>
      </w:r>
      <w:r w:rsidR="00D37094">
        <w:rPr>
          <w:i/>
          <w:iCs/>
        </w:rPr>
        <w:t xml:space="preserve"> 02/08/2022</w:t>
      </w:r>
    </w:p>
    <w:p w14:paraId="29D21A2E" w14:textId="77777777" w:rsidR="00D92ECC" w:rsidRDefault="00D92ECC" w:rsidP="00815398">
      <w:pPr>
        <w:pStyle w:val="Footer"/>
        <w:tabs>
          <w:tab w:val="clear" w:pos="4320"/>
          <w:tab w:val="clear" w:pos="8640"/>
        </w:tabs>
      </w:pPr>
    </w:p>
    <w:p w14:paraId="5DA87474" w14:textId="77777777" w:rsidR="00815398" w:rsidRDefault="00815398" w:rsidP="00815398">
      <w:pPr>
        <w:pStyle w:val="Footer"/>
        <w:tabs>
          <w:tab w:val="clear" w:pos="4320"/>
          <w:tab w:val="clear" w:pos="8640"/>
        </w:tabs>
        <w:rPr>
          <w:u w:val="single"/>
        </w:rPr>
      </w:pPr>
      <w:r>
        <w:rPr>
          <w:u w:val="single"/>
        </w:rPr>
        <w:t>Introduction</w:t>
      </w:r>
    </w:p>
    <w:p w14:paraId="22886CB8" w14:textId="2B412A8B" w:rsidR="00815398" w:rsidRDefault="00815398" w:rsidP="00815398">
      <w:r>
        <w:t xml:space="preserve">The purpose of this policy is to establish </w:t>
      </w:r>
      <w:r w:rsidR="003C6EBA">
        <w:t xml:space="preserve">communication between </w:t>
      </w:r>
      <w:r>
        <w:t xml:space="preserve">the IACUC and the IBC when it comes to following NIH Policy on use, </w:t>
      </w:r>
      <w:r w:rsidR="00D92ECC">
        <w:t>generation,</w:t>
      </w:r>
      <w:r>
        <w:t xml:space="preserve"> and breeding of genetically modified </w:t>
      </w:r>
      <w:r w:rsidR="00A865E8">
        <w:t>animals</w:t>
      </w:r>
      <w:r>
        <w:t>.</w:t>
      </w:r>
    </w:p>
    <w:p w14:paraId="66BF9BDE" w14:textId="77777777" w:rsidR="00815398" w:rsidRDefault="00815398" w:rsidP="00815398">
      <w:pPr>
        <w:rPr>
          <w:u w:val="single"/>
        </w:rPr>
      </w:pPr>
    </w:p>
    <w:p w14:paraId="5FCB895C" w14:textId="77777777" w:rsidR="00815398" w:rsidRPr="00CA1764" w:rsidRDefault="00815398" w:rsidP="00815398">
      <w:pPr>
        <w:rPr>
          <w:color w:val="000000"/>
        </w:rPr>
      </w:pPr>
      <w:r>
        <w:rPr>
          <w:color w:val="000000"/>
          <w:u w:val="single"/>
        </w:rPr>
        <w:t>Scope</w:t>
      </w:r>
    </w:p>
    <w:p w14:paraId="1E6175FA" w14:textId="7ADD0356" w:rsidR="00815398" w:rsidRDefault="00815398" w:rsidP="00815398">
      <w:r>
        <w:t>All Principal Investigators and research staff must comply with this policy</w:t>
      </w:r>
      <w:r w:rsidR="007F1CA8">
        <w:t xml:space="preserve"> independent of the research funding</w:t>
      </w:r>
      <w:r w:rsidR="00D5494D">
        <w:t xml:space="preserve"> source,</w:t>
      </w:r>
      <w:r>
        <w:t xml:space="preserve"> as required by the </w:t>
      </w:r>
      <w:hyperlink r:id="rId7" w:history="1">
        <w:r w:rsidRPr="00D5494D">
          <w:rPr>
            <w:rStyle w:val="Hyperlink"/>
          </w:rPr>
          <w:t>National Institutes of Health (NIH) Guidelines for Research Involving Recombinant DNA Molecules</w:t>
        </w:r>
      </w:hyperlink>
      <w:r>
        <w:t>.  All animal work must be approved by IACUC prior to initiation.  If the work involves genetically engineered vertebrate animals, including generation of new mutants or subsequent breeding, then the IBC must also give approval</w:t>
      </w:r>
      <w:r w:rsidR="00EE094C">
        <w:t xml:space="preserve"> before the work may commence.</w:t>
      </w:r>
      <w:r w:rsidR="003A50E4">
        <w:t xml:space="preserve"> </w:t>
      </w:r>
    </w:p>
    <w:p w14:paraId="1BF7AC59" w14:textId="77777777" w:rsidR="00815398" w:rsidRDefault="00815398" w:rsidP="00815398"/>
    <w:p w14:paraId="079B9279" w14:textId="77777777" w:rsidR="00815398" w:rsidRPr="003A50E4" w:rsidRDefault="00815398" w:rsidP="00815398">
      <w:pPr>
        <w:rPr>
          <w:b/>
          <w:u w:val="single"/>
        </w:rPr>
      </w:pPr>
      <w:r w:rsidRPr="003A50E4">
        <w:rPr>
          <w:b/>
          <w:u w:val="single"/>
        </w:rPr>
        <w:t>Requirements:</w:t>
      </w:r>
    </w:p>
    <w:p w14:paraId="764EF203" w14:textId="77777777" w:rsidR="00815398" w:rsidRDefault="00815398" w:rsidP="00815398"/>
    <w:p w14:paraId="4DA756EC" w14:textId="77777777" w:rsidR="00E82805" w:rsidRPr="00620B53" w:rsidRDefault="00815398" w:rsidP="00620B53">
      <w:pPr>
        <w:rPr>
          <w:u w:val="single"/>
        </w:rPr>
      </w:pPr>
      <w:r w:rsidRPr="00815398">
        <w:rPr>
          <w:u w:val="single"/>
        </w:rPr>
        <w:t>Exempt</w:t>
      </w:r>
      <w:r w:rsidR="00E82805">
        <w:rPr>
          <w:u w:val="single"/>
        </w:rPr>
        <w:t xml:space="preserve"> form IBC Review and Approval</w:t>
      </w:r>
      <w:r w:rsidRPr="00815398">
        <w:rPr>
          <w:u w:val="single"/>
        </w:rPr>
        <w:t>:</w:t>
      </w:r>
      <w:r w:rsidR="00E82805">
        <w:t xml:space="preserve">  </w:t>
      </w:r>
    </w:p>
    <w:p w14:paraId="45A730C5" w14:textId="5A9CEA5E" w:rsidR="00762BCB" w:rsidRDefault="00E82805" w:rsidP="00E82805">
      <w:pPr>
        <w:pStyle w:val="ListParagraph"/>
        <w:numPr>
          <w:ilvl w:val="0"/>
          <w:numId w:val="2"/>
        </w:numPr>
      </w:pPr>
      <w:r>
        <w:t xml:space="preserve">Breeding </w:t>
      </w:r>
      <w:r w:rsidR="00B31ED0">
        <w:t xml:space="preserve">transgenic or </w:t>
      </w:r>
      <w:r w:rsidR="00CA6E73">
        <w:t xml:space="preserve">knockout </w:t>
      </w:r>
      <w:r w:rsidR="00620B53">
        <w:t xml:space="preserve">rodents from </w:t>
      </w:r>
      <w:r w:rsidR="00763B04">
        <w:t xml:space="preserve">one </w:t>
      </w:r>
      <w:r>
        <w:t>strain</w:t>
      </w:r>
      <w:r w:rsidR="00762BCB">
        <w:t xml:space="preserve"> (propagation/colony maintenance) </w:t>
      </w:r>
      <w:r w:rsidR="00642E05">
        <w:t xml:space="preserve">in </w:t>
      </w:r>
      <w:r w:rsidR="00763B04">
        <w:t>BL1 containment</w:t>
      </w:r>
      <w:r w:rsidR="00FA235E">
        <w:t>.</w:t>
      </w:r>
      <w:r w:rsidR="00763B04">
        <w:t xml:space="preserve"> </w:t>
      </w:r>
    </w:p>
    <w:p w14:paraId="27BE8310" w14:textId="7087C95E" w:rsidR="00815398" w:rsidRDefault="00762BCB" w:rsidP="00E82805">
      <w:pPr>
        <w:pStyle w:val="ListParagraph"/>
        <w:numPr>
          <w:ilvl w:val="0"/>
          <w:numId w:val="2"/>
        </w:numPr>
      </w:pPr>
      <w:r>
        <w:t>Breeding of knockouts (propagation)</w:t>
      </w:r>
      <w:r w:rsidR="00E82805">
        <w:t xml:space="preserve"> </w:t>
      </w:r>
      <w:r w:rsidR="00642E05">
        <w:t>in</w:t>
      </w:r>
      <w:r w:rsidR="00780AB5">
        <w:t xml:space="preserve"> BL1 containment</w:t>
      </w:r>
      <w:r w:rsidR="00E82805">
        <w:t>.</w:t>
      </w:r>
    </w:p>
    <w:p w14:paraId="52B6C2CB" w14:textId="77777777" w:rsidR="00620B53" w:rsidRDefault="00620B53" w:rsidP="00E82805">
      <w:pPr>
        <w:pStyle w:val="ListParagraph"/>
        <w:numPr>
          <w:ilvl w:val="0"/>
          <w:numId w:val="2"/>
        </w:numPr>
      </w:pPr>
      <w:r>
        <w:t xml:space="preserve">Breeding </w:t>
      </w:r>
      <w:r w:rsidR="007043E3">
        <w:t xml:space="preserve">transgenic </w:t>
      </w:r>
      <w:r>
        <w:t>rodents from two strains</w:t>
      </w:r>
      <w:r w:rsidR="007043E3">
        <w:t xml:space="preserve"> </w:t>
      </w:r>
      <w:r>
        <w:t>(generating a new strain) providing neither parental rodent contains any of the following genetic modifications:</w:t>
      </w:r>
    </w:p>
    <w:p w14:paraId="485BD89C" w14:textId="1E04A6E1" w:rsidR="00620B53" w:rsidRDefault="00620B53" w:rsidP="00620B53">
      <w:pPr>
        <w:pStyle w:val="ListParagraph"/>
        <w:numPr>
          <w:ilvl w:val="1"/>
          <w:numId w:val="2"/>
        </w:numPr>
      </w:pPr>
      <w:r>
        <w:t>Incorporation of more than on</w:t>
      </w:r>
      <w:r w:rsidR="00156129">
        <w:t>e</w:t>
      </w:r>
      <w:r>
        <w:t>-half of the genome of an exogenous eukaryotic virus form a single family of viruses.</w:t>
      </w:r>
    </w:p>
    <w:p w14:paraId="0691C3F9" w14:textId="3D934FE2" w:rsidR="00620B53" w:rsidRDefault="00620B53" w:rsidP="00620B53">
      <w:pPr>
        <w:pStyle w:val="ListParagraph"/>
        <w:numPr>
          <w:ilvl w:val="1"/>
          <w:numId w:val="2"/>
        </w:numPr>
      </w:pPr>
      <w:r>
        <w:t xml:space="preserve">Incorporation of a transgene that is under control of a </w:t>
      </w:r>
      <w:r w:rsidR="00C111CE">
        <w:t>gammaretroviral</w:t>
      </w:r>
      <w:r>
        <w:t xml:space="preserve"> long terminal repeat</w:t>
      </w:r>
      <w:r w:rsidR="00D87BEC">
        <w:t xml:space="preserve"> </w:t>
      </w:r>
      <w:r>
        <w:t>(LTR)</w:t>
      </w:r>
      <w:r w:rsidR="00FA235E">
        <w:t>.</w:t>
      </w:r>
    </w:p>
    <w:p w14:paraId="2117DF22" w14:textId="084B937C" w:rsidR="00620B53" w:rsidRDefault="00620B53" w:rsidP="00620B53">
      <w:pPr>
        <w:pStyle w:val="ListParagraph"/>
        <w:numPr>
          <w:ilvl w:val="1"/>
          <w:numId w:val="2"/>
        </w:numPr>
      </w:pPr>
      <w:r>
        <w:t xml:space="preserve">The rodent that results </w:t>
      </w:r>
      <w:r w:rsidR="00B255EA">
        <w:t xml:space="preserve">from </w:t>
      </w:r>
      <w:r>
        <w:t>the breeding is n</w:t>
      </w:r>
      <w:r w:rsidR="00D87BEC">
        <w:t>ot expected to contain more tha</w:t>
      </w:r>
      <w:r>
        <w:t>n one-half of an exogenous viral genome from a single family of viruses.</w:t>
      </w:r>
    </w:p>
    <w:p w14:paraId="2BD7CD41" w14:textId="7180D6B5" w:rsidR="007043E3" w:rsidRDefault="007043E3" w:rsidP="007043E3">
      <w:pPr>
        <w:pStyle w:val="ListParagraph"/>
        <w:numPr>
          <w:ilvl w:val="0"/>
          <w:numId w:val="2"/>
        </w:numPr>
      </w:pPr>
      <w:r>
        <w:t>Experiments with transgenic/knockout rodents</w:t>
      </w:r>
      <w:r w:rsidR="00642E05">
        <w:t xml:space="preserve"> in BL1 containment</w:t>
      </w:r>
      <w:r>
        <w:t xml:space="preserve"> that do not involve the use of any recombinant DNA.</w:t>
      </w:r>
    </w:p>
    <w:p w14:paraId="0CF08A3E" w14:textId="46EB4595" w:rsidR="007711F8" w:rsidRDefault="007711F8" w:rsidP="007043E3">
      <w:pPr>
        <w:pStyle w:val="ListParagraph"/>
        <w:numPr>
          <w:ilvl w:val="0"/>
          <w:numId w:val="2"/>
        </w:numPr>
      </w:pPr>
      <w:r>
        <w:t>Purchase or transfer of transgenic rodents that require BL1 containment</w:t>
      </w:r>
      <w:r w:rsidR="00FA235E">
        <w:t>.</w:t>
      </w:r>
    </w:p>
    <w:p w14:paraId="1508D4D4" w14:textId="77777777" w:rsidR="00614987" w:rsidRDefault="00614987" w:rsidP="00B10D6D">
      <w:pPr>
        <w:pStyle w:val="ListParagraph"/>
      </w:pPr>
    </w:p>
    <w:p w14:paraId="10EA0F68" w14:textId="77777777" w:rsidR="00815398" w:rsidRPr="007043E3" w:rsidRDefault="00815398" w:rsidP="00815398"/>
    <w:p w14:paraId="7E5DC59F" w14:textId="77777777" w:rsidR="00815398" w:rsidRPr="0062256E" w:rsidRDefault="007043E3" w:rsidP="00815398">
      <w:pPr>
        <w:rPr>
          <w:u w:val="single"/>
        </w:rPr>
      </w:pPr>
      <w:r w:rsidRPr="0062256E">
        <w:rPr>
          <w:u w:val="single"/>
        </w:rPr>
        <w:t>Not Exempt form IBC Review and Approval:</w:t>
      </w:r>
    </w:p>
    <w:p w14:paraId="6E73517B" w14:textId="03297D16" w:rsidR="007043E3" w:rsidRDefault="007043E3" w:rsidP="007043E3">
      <w:pPr>
        <w:pStyle w:val="ListParagraph"/>
        <w:numPr>
          <w:ilvl w:val="0"/>
          <w:numId w:val="3"/>
        </w:numPr>
      </w:pPr>
      <w:r>
        <w:t>Creation of transgenic/knockout rodents</w:t>
      </w:r>
      <w:r w:rsidR="00953387">
        <w:t>.</w:t>
      </w:r>
    </w:p>
    <w:p w14:paraId="5909CB1A" w14:textId="4AD95033" w:rsidR="007043E3" w:rsidRDefault="007043E3" w:rsidP="007043E3">
      <w:pPr>
        <w:pStyle w:val="ListParagraph"/>
        <w:numPr>
          <w:ilvl w:val="0"/>
          <w:numId w:val="3"/>
        </w:numPr>
      </w:pPr>
      <w:r>
        <w:t xml:space="preserve">All experiments </w:t>
      </w:r>
      <w:r w:rsidR="00B97D27">
        <w:t xml:space="preserve">or housing </w:t>
      </w:r>
      <w:r w:rsidR="00FA235E">
        <w:t xml:space="preserve">of transgenic rodents </w:t>
      </w:r>
      <w:r>
        <w:t>at BL2 or higher, including breeding.</w:t>
      </w:r>
    </w:p>
    <w:p w14:paraId="67C1822E" w14:textId="77777777" w:rsidR="007043E3" w:rsidRDefault="008A1C40" w:rsidP="007043E3">
      <w:pPr>
        <w:pStyle w:val="ListParagraph"/>
        <w:numPr>
          <w:ilvl w:val="0"/>
          <w:numId w:val="3"/>
        </w:numPr>
      </w:pPr>
      <w:r>
        <w:t xml:space="preserve">Breeding transgenic or </w:t>
      </w:r>
      <w:r w:rsidR="007043E3">
        <w:t>knockout rodents from two strains (generating a new strain) if the parental rodent contains any of the following genetic modifications:</w:t>
      </w:r>
    </w:p>
    <w:p w14:paraId="05AC0178" w14:textId="5665BD3C" w:rsidR="007043E3" w:rsidRDefault="007043E3" w:rsidP="007043E3">
      <w:pPr>
        <w:pStyle w:val="ListParagraph"/>
        <w:numPr>
          <w:ilvl w:val="1"/>
          <w:numId w:val="3"/>
        </w:numPr>
      </w:pPr>
      <w:r>
        <w:t>Incorporation of more than on</w:t>
      </w:r>
      <w:r w:rsidR="00953387">
        <w:t>e</w:t>
      </w:r>
      <w:r>
        <w:t xml:space="preserve">-half of the genome of an exogenous eukaryotic virus </w:t>
      </w:r>
      <w:r w:rsidR="00953387">
        <w:t xml:space="preserve">from </w:t>
      </w:r>
      <w:r>
        <w:t>a single family of viruses.</w:t>
      </w:r>
    </w:p>
    <w:p w14:paraId="32C11B81" w14:textId="2FB8B45D" w:rsidR="007043E3" w:rsidRDefault="007043E3" w:rsidP="007043E3">
      <w:pPr>
        <w:pStyle w:val="ListParagraph"/>
        <w:numPr>
          <w:ilvl w:val="1"/>
          <w:numId w:val="3"/>
        </w:numPr>
      </w:pPr>
      <w:r>
        <w:t>Incorporation of a transgene that is under control of a gammaretroviral long terminal repeat</w:t>
      </w:r>
      <w:r w:rsidR="00953387">
        <w:t xml:space="preserve"> </w:t>
      </w:r>
      <w:r>
        <w:t>(LTR)</w:t>
      </w:r>
    </w:p>
    <w:p w14:paraId="35490592" w14:textId="181981B0" w:rsidR="007043E3" w:rsidRDefault="007043E3" w:rsidP="007043E3">
      <w:pPr>
        <w:pStyle w:val="ListParagraph"/>
        <w:numPr>
          <w:ilvl w:val="1"/>
          <w:numId w:val="3"/>
        </w:numPr>
      </w:pPr>
      <w:r>
        <w:t xml:space="preserve">The rodent that results </w:t>
      </w:r>
      <w:proofErr w:type="spellStart"/>
      <w:r>
        <w:t>form</w:t>
      </w:r>
      <w:proofErr w:type="spellEnd"/>
      <w:r>
        <w:t xml:space="preserve"> the breeding is not expected to contain more </w:t>
      </w:r>
      <w:proofErr w:type="spellStart"/>
      <w:r>
        <w:t>that</w:t>
      </w:r>
      <w:proofErr w:type="spellEnd"/>
      <w:r>
        <w:t xml:space="preserve"> one-half of an exogenous viral genome from a single family of viruses.</w:t>
      </w:r>
    </w:p>
    <w:p w14:paraId="4D67867C" w14:textId="2590FD14" w:rsidR="007043E3" w:rsidRDefault="008A1C40" w:rsidP="007043E3">
      <w:pPr>
        <w:pStyle w:val="ListParagraph"/>
        <w:numPr>
          <w:ilvl w:val="0"/>
          <w:numId w:val="3"/>
        </w:numPr>
      </w:pPr>
      <w:r>
        <w:t>All experiments involving the use of</w:t>
      </w:r>
      <w:r w:rsidR="00C8660E">
        <w:t xml:space="preserve"> recombinant or synthetic nucleic acids (</w:t>
      </w:r>
      <w:proofErr w:type="gramStart"/>
      <w:r w:rsidR="00C8660E">
        <w:t>e.g.</w:t>
      </w:r>
      <w:proofErr w:type="gramEnd"/>
      <w:r w:rsidR="00C8660E">
        <w:t xml:space="preserve"> </w:t>
      </w:r>
      <w:r>
        <w:t>rDNA, rRNA, siRNA</w:t>
      </w:r>
      <w:r w:rsidR="00C8660E">
        <w:t>)</w:t>
      </w:r>
    </w:p>
    <w:p w14:paraId="179F11B9" w14:textId="23D526AC" w:rsidR="007043E3" w:rsidRDefault="008A1C40" w:rsidP="007043E3">
      <w:pPr>
        <w:pStyle w:val="ListParagraph"/>
        <w:numPr>
          <w:ilvl w:val="0"/>
          <w:numId w:val="3"/>
        </w:numPr>
      </w:pPr>
      <w:r>
        <w:t xml:space="preserve">All experiments where two knockout strains </w:t>
      </w:r>
      <w:r w:rsidR="0011564D">
        <w:t>are bred, potentially generating a new strain of mi</w:t>
      </w:r>
      <w:r w:rsidR="00D87BEC">
        <w:t>c</w:t>
      </w:r>
      <w:r w:rsidR="0011564D">
        <w:t>e.</w:t>
      </w:r>
    </w:p>
    <w:p w14:paraId="78EC4056" w14:textId="1A6D1D61" w:rsidR="0081215F" w:rsidRDefault="0081215F" w:rsidP="007043E3">
      <w:pPr>
        <w:pStyle w:val="ListParagraph"/>
        <w:numPr>
          <w:ilvl w:val="0"/>
          <w:numId w:val="3"/>
        </w:numPr>
      </w:pPr>
      <w:r>
        <w:t>All experiments involving the use of transgenic rodents requiring BL2 or higher containment or the use of other transgenic animals at any biosafety level.</w:t>
      </w:r>
    </w:p>
    <w:p w14:paraId="28D2E0CF" w14:textId="79AF7D1B" w:rsidR="005C61A4" w:rsidRPr="007043E3" w:rsidRDefault="005C61A4" w:rsidP="007043E3">
      <w:pPr>
        <w:pStyle w:val="ListParagraph"/>
        <w:numPr>
          <w:ilvl w:val="0"/>
          <w:numId w:val="3"/>
        </w:numPr>
      </w:pPr>
      <w:r>
        <w:t>Purchase or transfer of transgenic rodents requiring BL2 or higher containment or other transgenic animals at any biosafety level.</w:t>
      </w:r>
    </w:p>
    <w:p w14:paraId="4C77B568" w14:textId="77777777" w:rsidR="007043E3" w:rsidRDefault="007043E3" w:rsidP="00815398">
      <w:pPr>
        <w:rPr>
          <w:b/>
        </w:rPr>
      </w:pPr>
    </w:p>
    <w:p w14:paraId="0FB88098" w14:textId="77777777" w:rsidR="00B97D27" w:rsidRDefault="00B97D27" w:rsidP="00815398">
      <w:pPr>
        <w:rPr>
          <w:b/>
        </w:rPr>
      </w:pPr>
    </w:p>
    <w:p w14:paraId="27773066" w14:textId="5837C833" w:rsidR="007043E3" w:rsidRPr="003A50E4" w:rsidRDefault="003A50E4" w:rsidP="00815398">
      <w:r w:rsidRPr="003A50E4">
        <w:t>No work with these animals may begin until approval has been received from both the IACUC and the IBC</w:t>
      </w:r>
      <w:r>
        <w:t xml:space="preserve">.  </w:t>
      </w:r>
      <w:r w:rsidR="00C05141">
        <w:t xml:space="preserve">Contact the Biosafety Program Manager at </w:t>
      </w:r>
      <w:hyperlink r:id="rId8" w:history="1">
        <w:r w:rsidR="00D92ECC" w:rsidRPr="00C35C55">
          <w:rPr>
            <w:rStyle w:val="Hyperlink"/>
          </w:rPr>
          <w:t>biosafety@neu.edu</w:t>
        </w:r>
      </w:hyperlink>
      <w:r w:rsidR="00C05141">
        <w:t xml:space="preserve"> with question about the IBC approval process.</w:t>
      </w:r>
      <w:r w:rsidR="00CE6D2B">
        <w:t xml:space="preserve">  </w:t>
      </w:r>
    </w:p>
    <w:p w14:paraId="228875D3" w14:textId="77777777" w:rsidR="00815398" w:rsidRPr="00B97D27" w:rsidRDefault="00815398" w:rsidP="00815398"/>
    <w:p w14:paraId="342A08C8" w14:textId="77777777" w:rsidR="00B97D27" w:rsidRPr="00B97D27" w:rsidRDefault="00B97D27" w:rsidP="00815398"/>
    <w:p w14:paraId="4B9FB806" w14:textId="1041A98E" w:rsidR="00B97D27" w:rsidRPr="003675F5" w:rsidRDefault="00B97D27" w:rsidP="00815398">
      <w:pPr>
        <w:rPr>
          <w:u w:val="single"/>
        </w:rPr>
      </w:pPr>
      <w:r w:rsidRPr="003675F5">
        <w:rPr>
          <w:u w:val="single"/>
        </w:rPr>
        <w:t>Procedure for IBC Approval of research with animals in the Non-Exempt Category:</w:t>
      </w:r>
    </w:p>
    <w:p w14:paraId="595440AA" w14:textId="695E27BB" w:rsidR="00B97D27" w:rsidRDefault="00B97D27" w:rsidP="003675F5">
      <w:pPr>
        <w:pStyle w:val="ListParagraph"/>
        <w:numPr>
          <w:ilvl w:val="0"/>
          <w:numId w:val="4"/>
        </w:numPr>
      </w:pPr>
      <w:r>
        <w:t xml:space="preserve">Obtain IACUC Approval for the use of </w:t>
      </w:r>
      <w:r w:rsidR="003675F5">
        <w:t>the animals.</w:t>
      </w:r>
    </w:p>
    <w:p w14:paraId="36A57619" w14:textId="618071EC" w:rsidR="004B0297" w:rsidRPr="00815398" w:rsidRDefault="00FF04BE" w:rsidP="00815398">
      <w:pPr>
        <w:pStyle w:val="ListParagraph"/>
        <w:numPr>
          <w:ilvl w:val="0"/>
          <w:numId w:val="4"/>
        </w:numPr>
      </w:pPr>
      <w:r>
        <w:t xml:space="preserve">Submit an Animal Hazardous Materials Addendum (AHA) and have it reviewed and approved by both the IACUC and the IBC. </w:t>
      </w:r>
      <w:r w:rsidR="003675F5">
        <w:t xml:space="preserve"> (In rare instances, the pr</w:t>
      </w:r>
      <w:r w:rsidR="00BB404A">
        <w:t>o</w:t>
      </w:r>
      <w:r w:rsidR="003675F5">
        <w:t>ject may need to be referred to the NIH Office of Biotechnology Affairs (OBA) for NIH review, i.e., use of a modified animal that may pose a threat to agriculture (if released).</w:t>
      </w:r>
    </w:p>
    <w:sectPr w:rsidR="004B0297" w:rsidRPr="00815398" w:rsidSect="00815398">
      <w:footerReference w:type="even" r:id="rId9"/>
      <w:footerReference w:type="default" r:id="rId10"/>
      <w:pgSz w:w="12240" w:h="15840"/>
      <w:pgMar w:top="540" w:right="1800" w:bottom="2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DC253" w14:textId="77777777" w:rsidR="006D5C86" w:rsidRDefault="006D5C86">
      <w:r>
        <w:separator/>
      </w:r>
    </w:p>
  </w:endnote>
  <w:endnote w:type="continuationSeparator" w:id="0">
    <w:p w14:paraId="00B12816" w14:textId="77777777" w:rsidR="006D5C86" w:rsidRDefault="006D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B060402020202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7367" w14:textId="77777777" w:rsidR="00CE6D2B" w:rsidRDefault="00CE6D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47F37D" w14:textId="77777777" w:rsidR="00CE6D2B" w:rsidRDefault="00CE6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34AE" w14:textId="77777777" w:rsidR="00CE6D2B" w:rsidRDefault="00CE6D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6DB7">
      <w:rPr>
        <w:rStyle w:val="PageNumber"/>
        <w:noProof/>
      </w:rPr>
      <w:t>2</w:t>
    </w:r>
    <w:r>
      <w:rPr>
        <w:rStyle w:val="PageNumber"/>
      </w:rPr>
      <w:fldChar w:fldCharType="end"/>
    </w:r>
  </w:p>
  <w:p w14:paraId="3036DD6A" w14:textId="77777777" w:rsidR="00CE6D2B" w:rsidRDefault="00CE6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6274B" w14:textId="77777777" w:rsidR="006D5C86" w:rsidRDefault="006D5C86">
      <w:r>
        <w:separator/>
      </w:r>
    </w:p>
  </w:footnote>
  <w:footnote w:type="continuationSeparator" w:id="0">
    <w:p w14:paraId="7E837A1E" w14:textId="77777777" w:rsidR="006D5C86" w:rsidRDefault="006D5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A53"/>
    <w:multiLevelType w:val="hybridMultilevel"/>
    <w:tmpl w:val="7AF0E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B36F6"/>
    <w:multiLevelType w:val="hybridMultilevel"/>
    <w:tmpl w:val="B9DA5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131DE"/>
    <w:multiLevelType w:val="hybridMultilevel"/>
    <w:tmpl w:val="BE5C4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837A9"/>
    <w:multiLevelType w:val="hybridMultilevel"/>
    <w:tmpl w:val="88E2F0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D158F1"/>
    <w:multiLevelType w:val="hybridMultilevel"/>
    <w:tmpl w:val="F77E5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398"/>
    <w:rsid w:val="000C11A4"/>
    <w:rsid w:val="00103FA6"/>
    <w:rsid w:val="0011564D"/>
    <w:rsid w:val="00156129"/>
    <w:rsid w:val="001C48A1"/>
    <w:rsid w:val="00264882"/>
    <w:rsid w:val="002B63C8"/>
    <w:rsid w:val="002F6DB7"/>
    <w:rsid w:val="003617D8"/>
    <w:rsid w:val="003675F5"/>
    <w:rsid w:val="00380B47"/>
    <w:rsid w:val="003A50E4"/>
    <w:rsid w:val="003B72AB"/>
    <w:rsid w:val="003C6EBA"/>
    <w:rsid w:val="004B0297"/>
    <w:rsid w:val="005052AB"/>
    <w:rsid w:val="005C61A4"/>
    <w:rsid w:val="00614987"/>
    <w:rsid w:val="00620B53"/>
    <w:rsid w:val="0062256E"/>
    <w:rsid w:val="00642E05"/>
    <w:rsid w:val="00692DD3"/>
    <w:rsid w:val="006D5C86"/>
    <w:rsid w:val="007043E3"/>
    <w:rsid w:val="00762BCB"/>
    <w:rsid w:val="00763B04"/>
    <w:rsid w:val="007711F8"/>
    <w:rsid w:val="00780AB5"/>
    <w:rsid w:val="007F1CA8"/>
    <w:rsid w:val="007F220F"/>
    <w:rsid w:val="0081215F"/>
    <w:rsid w:val="00815398"/>
    <w:rsid w:val="008A1C40"/>
    <w:rsid w:val="00953387"/>
    <w:rsid w:val="00A865E8"/>
    <w:rsid w:val="00AA551B"/>
    <w:rsid w:val="00B10D6D"/>
    <w:rsid w:val="00B255EA"/>
    <w:rsid w:val="00B31ED0"/>
    <w:rsid w:val="00B423F5"/>
    <w:rsid w:val="00B97D27"/>
    <w:rsid w:val="00BB404A"/>
    <w:rsid w:val="00C00DCF"/>
    <w:rsid w:val="00C05141"/>
    <w:rsid w:val="00C111CE"/>
    <w:rsid w:val="00C8660E"/>
    <w:rsid w:val="00CA6E73"/>
    <w:rsid w:val="00CD270D"/>
    <w:rsid w:val="00CE6432"/>
    <w:rsid w:val="00CE6D2B"/>
    <w:rsid w:val="00D37094"/>
    <w:rsid w:val="00D5494D"/>
    <w:rsid w:val="00D67358"/>
    <w:rsid w:val="00D87BEC"/>
    <w:rsid w:val="00D92ECC"/>
    <w:rsid w:val="00D97C13"/>
    <w:rsid w:val="00E82805"/>
    <w:rsid w:val="00EE094C"/>
    <w:rsid w:val="00FA235E"/>
    <w:rsid w:val="00FC4120"/>
    <w:rsid w:val="00FE61BF"/>
    <w:rsid w:val="00FF0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C05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5398"/>
    <w:rPr>
      <w:rFonts w:eastAsia="Times New Roman"/>
      <w:lang w:eastAsia="en-US"/>
    </w:rPr>
  </w:style>
  <w:style w:type="paragraph" w:styleId="Heading1">
    <w:name w:val="heading 1"/>
    <w:basedOn w:val="Normal"/>
    <w:next w:val="Normal"/>
    <w:link w:val="Heading1Char"/>
    <w:qFormat/>
    <w:rsid w:val="00815398"/>
    <w:pPr>
      <w:keepNext/>
      <w:ind w:left="180"/>
      <w:jc w:val="center"/>
      <w:outlineLvl w:val="0"/>
    </w:pPr>
    <w:rPr>
      <w:rFonts w:ascii="New York" w:hAnsi="New York"/>
      <w:b/>
      <w:szCs w:val="20"/>
    </w:rPr>
  </w:style>
  <w:style w:type="paragraph" w:styleId="Heading3">
    <w:name w:val="heading 3"/>
    <w:basedOn w:val="Normal"/>
    <w:next w:val="Normal"/>
    <w:link w:val="Heading3Char"/>
    <w:qFormat/>
    <w:rsid w:val="00815398"/>
    <w:pPr>
      <w:keepNext/>
      <w:ind w:left="180"/>
      <w:jc w:val="center"/>
      <w:outlineLvl w:val="2"/>
    </w:pPr>
    <w:rPr>
      <w:b/>
      <w:bCs/>
      <w:sz w:val="28"/>
      <w:szCs w:val="20"/>
    </w:rPr>
  </w:style>
  <w:style w:type="paragraph" w:styleId="Heading9">
    <w:name w:val="heading 9"/>
    <w:basedOn w:val="Normal"/>
    <w:next w:val="Normal"/>
    <w:link w:val="Heading9Char"/>
    <w:semiHidden/>
    <w:unhideWhenUsed/>
    <w:qFormat/>
    <w:rsid w:val="00815398"/>
    <w:p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398"/>
    <w:rPr>
      <w:rFonts w:ascii="New York" w:eastAsia="Times New Roman" w:hAnsi="New York"/>
      <w:b/>
      <w:szCs w:val="20"/>
      <w:lang w:eastAsia="en-US"/>
    </w:rPr>
  </w:style>
  <w:style w:type="character" w:customStyle="1" w:styleId="Heading3Char">
    <w:name w:val="Heading 3 Char"/>
    <w:basedOn w:val="DefaultParagraphFont"/>
    <w:link w:val="Heading3"/>
    <w:rsid w:val="00815398"/>
    <w:rPr>
      <w:rFonts w:eastAsia="Times New Roman"/>
      <w:b/>
      <w:bCs/>
      <w:sz w:val="28"/>
      <w:szCs w:val="20"/>
      <w:lang w:eastAsia="en-US"/>
    </w:rPr>
  </w:style>
  <w:style w:type="character" w:customStyle="1" w:styleId="Heading9Char">
    <w:name w:val="Heading 9 Char"/>
    <w:basedOn w:val="DefaultParagraphFont"/>
    <w:link w:val="Heading9"/>
    <w:semiHidden/>
    <w:rsid w:val="00815398"/>
    <w:rPr>
      <w:rFonts w:ascii="Calibri" w:eastAsia="MS Gothic" w:hAnsi="Calibri"/>
      <w:sz w:val="22"/>
      <w:szCs w:val="22"/>
      <w:lang w:eastAsia="en-US"/>
    </w:rPr>
  </w:style>
  <w:style w:type="paragraph" w:styleId="Footer">
    <w:name w:val="footer"/>
    <w:basedOn w:val="Normal"/>
    <w:link w:val="FooterChar"/>
    <w:rsid w:val="00815398"/>
    <w:pPr>
      <w:tabs>
        <w:tab w:val="center" w:pos="4320"/>
        <w:tab w:val="right" w:pos="8640"/>
      </w:tabs>
    </w:pPr>
    <w:rPr>
      <w:rFonts w:ascii="New York" w:hAnsi="New York"/>
      <w:szCs w:val="20"/>
    </w:rPr>
  </w:style>
  <w:style w:type="character" w:customStyle="1" w:styleId="FooterChar">
    <w:name w:val="Footer Char"/>
    <w:basedOn w:val="DefaultParagraphFont"/>
    <w:link w:val="Footer"/>
    <w:rsid w:val="00815398"/>
    <w:rPr>
      <w:rFonts w:ascii="New York" w:eastAsia="Times New Roman" w:hAnsi="New York"/>
      <w:szCs w:val="20"/>
      <w:lang w:eastAsia="en-US"/>
    </w:rPr>
  </w:style>
  <w:style w:type="character" w:styleId="PageNumber">
    <w:name w:val="page number"/>
    <w:basedOn w:val="DefaultParagraphFont"/>
    <w:rsid w:val="00815398"/>
  </w:style>
  <w:style w:type="character" w:styleId="Hyperlink">
    <w:name w:val="Hyperlink"/>
    <w:rsid w:val="00815398"/>
    <w:rPr>
      <w:color w:val="0000FF"/>
      <w:u w:val="single"/>
    </w:rPr>
  </w:style>
  <w:style w:type="paragraph" w:styleId="ListParagraph">
    <w:name w:val="List Paragraph"/>
    <w:basedOn w:val="Normal"/>
    <w:uiPriority w:val="34"/>
    <w:qFormat/>
    <w:rsid w:val="00E82805"/>
    <w:pPr>
      <w:ind w:left="720"/>
      <w:contextualSpacing/>
    </w:pPr>
  </w:style>
  <w:style w:type="character" w:styleId="CommentReference">
    <w:name w:val="annotation reference"/>
    <w:basedOn w:val="DefaultParagraphFont"/>
    <w:uiPriority w:val="99"/>
    <w:semiHidden/>
    <w:unhideWhenUsed/>
    <w:rsid w:val="003A50E4"/>
    <w:rPr>
      <w:sz w:val="18"/>
      <w:szCs w:val="18"/>
    </w:rPr>
  </w:style>
  <w:style w:type="paragraph" w:styleId="CommentText">
    <w:name w:val="annotation text"/>
    <w:basedOn w:val="Normal"/>
    <w:link w:val="CommentTextChar"/>
    <w:uiPriority w:val="99"/>
    <w:semiHidden/>
    <w:unhideWhenUsed/>
    <w:rsid w:val="003A50E4"/>
  </w:style>
  <w:style w:type="character" w:customStyle="1" w:styleId="CommentTextChar">
    <w:name w:val="Comment Text Char"/>
    <w:basedOn w:val="DefaultParagraphFont"/>
    <w:link w:val="CommentText"/>
    <w:uiPriority w:val="99"/>
    <w:semiHidden/>
    <w:rsid w:val="003A50E4"/>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A50E4"/>
    <w:rPr>
      <w:b/>
      <w:bCs/>
      <w:sz w:val="20"/>
      <w:szCs w:val="20"/>
    </w:rPr>
  </w:style>
  <w:style w:type="character" w:customStyle="1" w:styleId="CommentSubjectChar">
    <w:name w:val="Comment Subject Char"/>
    <w:basedOn w:val="CommentTextChar"/>
    <w:link w:val="CommentSubject"/>
    <w:uiPriority w:val="99"/>
    <w:semiHidden/>
    <w:rsid w:val="003A50E4"/>
    <w:rPr>
      <w:rFonts w:eastAsia="Times New Roman"/>
      <w:b/>
      <w:bCs/>
      <w:sz w:val="20"/>
      <w:szCs w:val="20"/>
      <w:lang w:eastAsia="en-US"/>
    </w:rPr>
  </w:style>
  <w:style w:type="paragraph" w:styleId="BalloonText">
    <w:name w:val="Balloon Text"/>
    <w:basedOn w:val="Normal"/>
    <w:link w:val="BalloonTextChar"/>
    <w:uiPriority w:val="99"/>
    <w:semiHidden/>
    <w:unhideWhenUsed/>
    <w:rsid w:val="003A50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0E4"/>
    <w:rPr>
      <w:rFonts w:ascii="Lucida Grande" w:eastAsia="Times New Roman" w:hAnsi="Lucida Grande" w:cs="Lucida Grande"/>
      <w:sz w:val="18"/>
      <w:szCs w:val="18"/>
      <w:lang w:eastAsia="en-US"/>
    </w:rPr>
  </w:style>
  <w:style w:type="character" w:styleId="FollowedHyperlink">
    <w:name w:val="FollowedHyperlink"/>
    <w:basedOn w:val="DefaultParagraphFont"/>
    <w:uiPriority w:val="99"/>
    <w:semiHidden/>
    <w:unhideWhenUsed/>
    <w:rsid w:val="00D92ECC"/>
    <w:rPr>
      <w:color w:val="800080" w:themeColor="followedHyperlink"/>
      <w:u w:val="single"/>
    </w:rPr>
  </w:style>
  <w:style w:type="character" w:styleId="UnresolvedMention">
    <w:name w:val="Unresolved Mention"/>
    <w:basedOn w:val="DefaultParagraphFont"/>
    <w:uiPriority w:val="99"/>
    <w:rsid w:val="00D92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safety@neu.edu" TargetMode="External"/><Relationship Id="rId3" Type="http://schemas.openxmlformats.org/officeDocument/2006/relationships/settings" Target="settings.xml"/><Relationship Id="rId7" Type="http://schemas.openxmlformats.org/officeDocument/2006/relationships/hyperlink" Target="http://osp.od.nih.gov/office-biotechnology-activities/biosafety/nih-guid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575</Words>
  <Characters>3283</Characters>
  <Application>Microsoft Office Word</Application>
  <DocSecurity>0</DocSecurity>
  <Lines>27</Lines>
  <Paragraphs>7</Paragraphs>
  <ScaleCrop>false</ScaleCrop>
  <Company>Northeastern University</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Sullivan</dc:creator>
  <cp:keywords/>
  <dc:description/>
  <cp:lastModifiedBy>Sullivan, Sean</cp:lastModifiedBy>
  <cp:revision>10</cp:revision>
  <cp:lastPrinted>2017-03-13T17:03:00Z</cp:lastPrinted>
  <dcterms:created xsi:type="dcterms:W3CDTF">2014-10-08T13:19:00Z</dcterms:created>
  <dcterms:modified xsi:type="dcterms:W3CDTF">2022-02-09T14:23:00Z</dcterms:modified>
</cp:coreProperties>
</file>