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624F" w14:textId="77777777" w:rsidR="000157DD" w:rsidRPr="000B22F2" w:rsidRDefault="000157DD" w:rsidP="000157DD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22F2">
        <w:rPr>
          <w:sz w:val="1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</w:t>
      </w:r>
      <w:r w:rsidRPr="000157DD">
        <w:rPr>
          <w:outline/>
          <w:color w:val="000000"/>
          <w:sz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–</w:t>
      </w:r>
      <w:r w:rsidRPr="000157DD">
        <w:rPr>
          <w:outline/>
          <w:color w:val="000000"/>
          <w:sz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IACUC POLICY</w:t>
      </w:r>
    </w:p>
    <w:p w14:paraId="654F2CB7" w14:textId="77777777" w:rsidR="000157DD" w:rsidRDefault="000157DD" w:rsidP="000157DD">
      <w:pPr>
        <w:pStyle w:val="Heading9"/>
        <w:rPr>
          <w:sz w:val="22"/>
          <w:u w:val="single"/>
        </w:rPr>
      </w:pPr>
      <w:r>
        <w:t>Northeastern University Institutional Animal Care and Use Committee</w:t>
      </w:r>
    </w:p>
    <w:p w14:paraId="29735548" w14:textId="77777777" w:rsidR="000157DD" w:rsidRDefault="000157DD" w:rsidP="000157DD">
      <w:pPr>
        <w:rPr>
          <w:u w:val="single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157DD" w14:paraId="7BD5783F" w14:textId="77777777" w:rsidTr="00A00502">
        <w:tc>
          <w:tcPr>
            <w:tcW w:w="8856" w:type="dxa"/>
          </w:tcPr>
          <w:p w14:paraId="489B6BBF" w14:textId="77777777" w:rsidR="000157DD" w:rsidRDefault="000157DD" w:rsidP="00A00502">
            <w:pPr>
              <w:rPr>
                <w:b/>
                <w:sz w:val="36"/>
              </w:rPr>
            </w:pPr>
          </w:p>
          <w:p w14:paraId="4185CBDD" w14:textId="77777777" w:rsidR="000157DD" w:rsidRPr="0084423F" w:rsidRDefault="000157DD" w:rsidP="000157D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Amendment Policy Supplement: </w:t>
            </w:r>
            <w:r w:rsidRPr="0084423F">
              <w:rPr>
                <w:rFonts w:ascii="Calibri" w:hAnsi="Calibri" w:cs="Calibri"/>
                <w:b/>
                <w:bCs/>
                <w:sz w:val="24"/>
                <w:szCs w:val="24"/>
              </w:rPr>
              <w:t>IACUC-Approved Guidance Documents for VVC</w:t>
            </w:r>
          </w:p>
          <w:p w14:paraId="33AFD6F0" w14:textId="77777777" w:rsidR="000157DD" w:rsidRDefault="000157DD" w:rsidP="00A00502">
            <w:pPr>
              <w:rPr>
                <w:sz w:val="22"/>
              </w:rPr>
            </w:pPr>
          </w:p>
        </w:tc>
      </w:tr>
    </w:tbl>
    <w:p w14:paraId="6939882F" w14:textId="2760990A" w:rsidR="00F41104" w:rsidRDefault="00F41104" w:rsidP="0084423F">
      <w:pPr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74A5441F" w14:textId="77777777" w:rsidR="000157DD" w:rsidRPr="00F41104" w:rsidRDefault="000157DD" w:rsidP="000157DD">
      <w:pPr>
        <w:rPr>
          <w:rFonts w:ascii="Calibri" w:hAnsi="Calibri" w:cs="Calibri"/>
          <w:b/>
          <w:bCs/>
          <w:sz w:val="14"/>
          <w:szCs w:val="14"/>
        </w:rPr>
      </w:pPr>
    </w:p>
    <w:p w14:paraId="56E5F939" w14:textId="6E312418" w:rsidR="0084423F" w:rsidRPr="0084423F" w:rsidRDefault="0084423F" w:rsidP="0084423F">
      <w:pPr>
        <w:jc w:val="center"/>
        <w:rPr>
          <w:rFonts w:ascii="Calibri" w:hAnsi="Calibri" w:cs="Calibri"/>
          <w:sz w:val="24"/>
          <w:szCs w:val="24"/>
        </w:rPr>
      </w:pPr>
      <w:r w:rsidRPr="0084423F">
        <w:rPr>
          <w:rFonts w:ascii="Calibri" w:hAnsi="Calibri" w:cs="Calibri"/>
          <w:sz w:val="24"/>
          <w:szCs w:val="24"/>
        </w:rPr>
        <w:t xml:space="preserve">Approved: </w:t>
      </w:r>
      <w:r w:rsidR="00A918A5">
        <w:rPr>
          <w:rFonts w:ascii="Calibri" w:hAnsi="Calibri" w:cs="Calibri"/>
          <w:sz w:val="24"/>
          <w:szCs w:val="24"/>
        </w:rPr>
        <w:t>10/14/2021</w:t>
      </w:r>
    </w:p>
    <w:p w14:paraId="24318024" w14:textId="77777777" w:rsidR="0084423F" w:rsidRPr="00F41104" w:rsidRDefault="0084423F" w:rsidP="0084423F">
      <w:pPr>
        <w:jc w:val="center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3A5B5722" w14:textId="52A84B1F" w:rsidR="0084423F" w:rsidRPr="0098140E" w:rsidRDefault="0084423F" w:rsidP="0084423F">
      <w:pPr>
        <w:jc w:val="both"/>
        <w:rPr>
          <w:rFonts w:asciiTheme="minorHAnsi" w:hAnsiTheme="minorHAnsi" w:cstheme="minorHAnsi"/>
          <w:sz w:val="24"/>
          <w:szCs w:val="24"/>
        </w:rPr>
      </w:pPr>
      <w:r w:rsidRPr="0084423F">
        <w:rPr>
          <w:rFonts w:ascii="Calibri" w:hAnsi="Calibri" w:cs="Calibri"/>
          <w:sz w:val="24"/>
          <w:szCs w:val="24"/>
        </w:rPr>
        <w:t>The following guidance documents used for VVC will be reviewed by the IACUC at least once every t</w:t>
      </w:r>
      <w:r w:rsidRPr="0098140E">
        <w:rPr>
          <w:rFonts w:ascii="Calibri" w:hAnsi="Calibri" w:cs="Calibri"/>
          <w:sz w:val="24"/>
          <w:szCs w:val="24"/>
        </w:rPr>
        <w:t>hree years to ensure they remain appropriate and accurate.  The most current version</w:t>
      </w:r>
      <w:r w:rsidR="00CE287A" w:rsidRPr="0098140E">
        <w:rPr>
          <w:rFonts w:ascii="Calibri" w:hAnsi="Calibri" w:cs="Calibri"/>
          <w:sz w:val="24"/>
          <w:szCs w:val="24"/>
        </w:rPr>
        <w:t>*</w:t>
      </w:r>
      <w:r w:rsidRPr="0098140E">
        <w:rPr>
          <w:rFonts w:ascii="Calibri" w:hAnsi="Calibri" w:cs="Calibri"/>
          <w:sz w:val="24"/>
          <w:szCs w:val="24"/>
        </w:rPr>
        <w:t xml:space="preserve"> of the following textbooks, publications, </w:t>
      </w:r>
      <w:proofErr w:type="gramStart"/>
      <w:r w:rsidRPr="0098140E">
        <w:rPr>
          <w:rFonts w:ascii="Calibri" w:hAnsi="Calibri" w:cs="Calibri"/>
          <w:sz w:val="24"/>
          <w:szCs w:val="24"/>
        </w:rPr>
        <w:t>references</w:t>
      </w:r>
      <w:proofErr w:type="gramEnd"/>
      <w:r w:rsidRPr="0098140E">
        <w:rPr>
          <w:rFonts w:ascii="Calibri" w:hAnsi="Calibri" w:cs="Calibri"/>
          <w:sz w:val="24"/>
          <w:szCs w:val="24"/>
        </w:rPr>
        <w:t xml:space="preserve"> and institutional documents can be used for VVC review:  </w:t>
      </w:r>
    </w:p>
    <w:p w14:paraId="5D2A8D0A" w14:textId="77777777" w:rsidR="0084423F" w:rsidRPr="0098140E" w:rsidRDefault="0084423F" w:rsidP="0084423F">
      <w:pPr>
        <w:ind w:left="405"/>
        <w:jc w:val="both"/>
        <w:rPr>
          <w:rFonts w:asciiTheme="minorHAnsi" w:hAnsiTheme="minorHAnsi" w:cstheme="minorHAnsi"/>
          <w:sz w:val="12"/>
          <w:szCs w:val="12"/>
        </w:rPr>
      </w:pPr>
    </w:p>
    <w:p w14:paraId="4A066F86" w14:textId="3E7C1E1A" w:rsidR="0098140E" w:rsidRPr="00D0451B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D0451B">
        <w:rPr>
          <w:rFonts w:asciiTheme="minorHAnsi" w:hAnsiTheme="minorHAnsi" w:cstheme="minorHAnsi"/>
          <w:sz w:val="22"/>
          <w:szCs w:val="22"/>
        </w:rPr>
        <w:t>ACLAM Book Series. (2007). The Mouse in Biomedical Research Volumes 1-4. In The Mouse in Biomedical Research Series (Vol. 1–4). Elsevier, Inc.</w:t>
      </w:r>
    </w:p>
    <w:p w14:paraId="35D15B04" w14:textId="77777777" w:rsidR="0098140E" w:rsidRPr="00D0451B" w:rsidRDefault="0098140E" w:rsidP="0098140E">
      <w:pPr>
        <w:pStyle w:val="ListParagraph"/>
        <w:numPr>
          <w:ilvl w:val="0"/>
          <w:numId w:val="1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D0451B">
        <w:rPr>
          <w:rFonts w:asciiTheme="minorHAnsi" w:hAnsiTheme="minorHAnsi" w:cstheme="minorHAnsi"/>
          <w:sz w:val="22"/>
          <w:szCs w:val="22"/>
        </w:rPr>
        <w:t>ACLAM Formulary (text or online version)</w:t>
      </w:r>
    </w:p>
    <w:p w14:paraId="0C9E9822" w14:textId="77777777" w:rsidR="0098140E" w:rsidRPr="00D0451B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D0451B">
        <w:rPr>
          <w:rFonts w:asciiTheme="minorHAnsi" w:hAnsiTheme="minorHAnsi" w:cstheme="minorHAnsi"/>
          <w:sz w:val="22"/>
          <w:szCs w:val="22"/>
        </w:rPr>
        <w:t xml:space="preserve">Fish, R., </w:t>
      </w:r>
      <w:proofErr w:type="spellStart"/>
      <w:r w:rsidRPr="00D0451B">
        <w:rPr>
          <w:rFonts w:asciiTheme="minorHAnsi" w:hAnsiTheme="minorHAnsi" w:cstheme="minorHAnsi"/>
          <w:sz w:val="22"/>
          <w:szCs w:val="22"/>
        </w:rPr>
        <w:t>Danneman</w:t>
      </w:r>
      <w:proofErr w:type="spellEnd"/>
      <w:r w:rsidRPr="00D0451B">
        <w:rPr>
          <w:rFonts w:asciiTheme="minorHAnsi" w:hAnsiTheme="minorHAnsi" w:cstheme="minorHAnsi"/>
          <w:sz w:val="22"/>
          <w:szCs w:val="22"/>
        </w:rPr>
        <w:t xml:space="preserve">, P., Brown, M., &amp; </w:t>
      </w:r>
      <w:proofErr w:type="spellStart"/>
      <w:r w:rsidRPr="00D0451B">
        <w:rPr>
          <w:rFonts w:asciiTheme="minorHAnsi" w:hAnsiTheme="minorHAnsi" w:cstheme="minorHAnsi"/>
          <w:sz w:val="22"/>
          <w:szCs w:val="22"/>
        </w:rPr>
        <w:t>Karas</w:t>
      </w:r>
      <w:proofErr w:type="spellEnd"/>
      <w:r w:rsidRPr="00D0451B">
        <w:rPr>
          <w:rFonts w:asciiTheme="minorHAnsi" w:hAnsiTheme="minorHAnsi" w:cstheme="minorHAnsi"/>
          <w:sz w:val="22"/>
          <w:szCs w:val="22"/>
        </w:rPr>
        <w:t>, A. (2008). Anesthesia and Analgesia in Laboratory Animals. Elsevier, Inc.</w:t>
      </w:r>
    </w:p>
    <w:p w14:paraId="3B3F1237" w14:textId="77777777" w:rsidR="0098140E" w:rsidRPr="00D0451B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0451B">
        <w:rPr>
          <w:rFonts w:asciiTheme="minorHAnsi" w:hAnsiTheme="minorHAnsi" w:cstheme="minorHAnsi"/>
          <w:sz w:val="22"/>
          <w:szCs w:val="22"/>
        </w:rPr>
        <w:t>Flecknell</w:t>
      </w:r>
      <w:proofErr w:type="spellEnd"/>
      <w:r w:rsidRPr="00D0451B">
        <w:rPr>
          <w:rFonts w:asciiTheme="minorHAnsi" w:hAnsiTheme="minorHAnsi" w:cstheme="minorHAnsi"/>
          <w:sz w:val="22"/>
          <w:szCs w:val="22"/>
        </w:rPr>
        <w:t xml:space="preserve">, P. (2015). Laboratory Animal </w:t>
      </w:r>
      <w:proofErr w:type="spellStart"/>
      <w:r w:rsidRPr="00D0451B">
        <w:rPr>
          <w:rFonts w:asciiTheme="minorHAnsi" w:hAnsiTheme="minorHAnsi" w:cstheme="minorHAnsi"/>
          <w:sz w:val="22"/>
          <w:szCs w:val="22"/>
        </w:rPr>
        <w:t>Anaesthesia</w:t>
      </w:r>
      <w:proofErr w:type="spellEnd"/>
      <w:r w:rsidRPr="00D0451B">
        <w:rPr>
          <w:rFonts w:asciiTheme="minorHAnsi" w:hAnsiTheme="minorHAnsi" w:cstheme="minorHAnsi"/>
          <w:sz w:val="22"/>
          <w:szCs w:val="22"/>
        </w:rPr>
        <w:t>. Elsevier, Inc.</w:t>
      </w:r>
    </w:p>
    <w:p w14:paraId="7DAA94DA" w14:textId="77777777" w:rsidR="0098140E" w:rsidRPr="0098140E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D0451B">
        <w:rPr>
          <w:rFonts w:asciiTheme="minorHAnsi" w:hAnsiTheme="minorHAnsi" w:cstheme="minorHAnsi"/>
          <w:sz w:val="22"/>
          <w:szCs w:val="22"/>
        </w:rPr>
        <w:t>Fowler, M., &amp; Miller, R. E. (2</w:t>
      </w:r>
      <w:r w:rsidRPr="0098140E">
        <w:rPr>
          <w:rFonts w:asciiTheme="minorHAnsi" w:hAnsiTheme="minorHAnsi" w:cstheme="minorHAnsi"/>
          <w:sz w:val="22"/>
          <w:szCs w:val="22"/>
        </w:rPr>
        <w:t>008, 2012, 2019). Zoo and Wild Animal Medicine. Elsevier, Inc.</w:t>
      </w:r>
    </w:p>
    <w:p w14:paraId="141D7D56" w14:textId="77777777" w:rsidR="0098140E" w:rsidRPr="0098140E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98140E">
        <w:rPr>
          <w:rFonts w:asciiTheme="minorHAnsi" w:hAnsiTheme="minorHAnsi" w:cstheme="minorHAnsi"/>
          <w:sz w:val="22"/>
          <w:szCs w:val="22"/>
        </w:rPr>
        <w:t>Fox, J. G., &amp; Bennett, B. T. (2015). Laboratory Animal Medicine. Elsevier, Inc</w:t>
      </w:r>
    </w:p>
    <w:p w14:paraId="4A5E15BF" w14:textId="77777777" w:rsidR="0098140E" w:rsidRPr="0098140E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98140E">
        <w:rPr>
          <w:rFonts w:asciiTheme="minorHAnsi" w:hAnsiTheme="minorHAnsi" w:cstheme="minorHAnsi"/>
          <w:sz w:val="22"/>
          <w:szCs w:val="22"/>
        </w:rPr>
        <w:t>Fox, J. G., &amp; Marini, R. P. (2014). Biology and Diseases of the Ferret: Third Edition. Elsevier, Inc</w:t>
      </w:r>
    </w:p>
    <w:p w14:paraId="1675217F" w14:textId="77777777" w:rsidR="0098140E" w:rsidRPr="0098140E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98140E">
        <w:rPr>
          <w:rFonts w:asciiTheme="minorHAnsi" w:hAnsiTheme="minorHAnsi" w:cstheme="minorHAnsi"/>
          <w:sz w:val="22"/>
          <w:szCs w:val="22"/>
        </w:rPr>
        <w:t>Green, S. L. (2009). The Laboratory Xenopus sp. CRC Book Press</w:t>
      </w:r>
    </w:p>
    <w:p w14:paraId="2692C833" w14:textId="77777777" w:rsidR="0098140E" w:rsidRPr="0098140E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98140E">
        <w:rPr>
          <w:rFonts w:asciiTheme="minorHAnsi" w:hAnsiTheme="minorHAnsi" w:cstheme="minorHAnsi"/>
          <w:sz w:val="22"/>
          <w:szCs w:val="22"/>
        </w:rPr>
        <w:t xml:space="preserve">Harkness, J. E., Turner, P. V, </w:t>
      </w:r>
      <w:proofErr w:type="spellStart"/>
      <w:r w:rsidRPr="0098140E">
        <w:rPr>
          <w:rFonts w:asciiTheme="minorHAnsi" w:hAnsiTheme="minorHAnsi" w:cstheme="minorHAnsi"/>
          <w:sz w:val="22"/>
          <w:szCs w:val="22"/>
        </w:rPr>
        <w:t>VandeWoude</w:t>
      </w:r>
      <w:proofErr w:type="spellEnd"/>
      <w:r w:rsidRPr="0098140E">
        <w:rPr>
          <w:rFonts w:asciiTheme="minorHAnsi" w:hAnsiTheme="minorHAnsi" w:cstheme="minorHAnsi"/>
          <w:sz w:val="22"/>
          <w:szCs w:val="22"/>
        </w:rPr>
        <w:t xml:space="preserve">, S., &amp; Wheler, C. L. (2010). Harkness and Wagner’s Biology and Medicine of Rabbits and Rodents, 5th Edition. In Wiley-Blackwell. </w:t>
      </w:r>
    </w:p>
    <w:p w14:paraId="681715CE" w14:textId="77777777" w:rsidR="0098140E" w:rsidRPr="0098140E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98140E">
        <w:rPr>
          <w:rFonts w:asciiTheme="minorHAnsi" w:hAnsiTheme="minorHAnsi" w:cstheme="minorHAnsi"/>
          <w:sz w:val="22"/>
          <w:szCs w:val="22"/>
        </w:rPr>
        <w:t>Harper, C., &amp; Lawrence, C. (2010). The Laboratory Zebrafish. CRC Book Press</w:t>
      </w:r>
    </w:p>
    <w:p w14:paraId="58AC7266" w14:textId="77777777" w:rsidR="0098140E" w:rsidRPr="0098140E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98140E">
        <w:rPr>
          <w:rFonts w:asciiTheme="minorHAnsi" w:hAnsiTheme="minorHAnsi" w:cstheme="minorHAnsi"/>
          <w:sz w:val="22"/>
          <w:szCs w:val="22"/>
        </w:rPr>
        <w:t>Hawk, C. T., Leary, S. L., &amp; Morris, T. H. (2005). Formulary for Laboratory Animals (3rd ed.). Wiley-Blackwell.</w:t>
      </w:r>
    </w:p>
    <w:p w14:paraId="6AADA8D7" w14:textId="77777777" w:rsidR="0098140E" w:rsidRPr="0098140E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140E">
        <w:rPr>
          <w:rFonts w:asciiTheme="minorHAnsi" w:hAnsiTheme="minorHAnsi" w:cstheme="minorHAnsi"/>
          <w:sz w:val="22"/>
          <w:szCs w:val="22"/>
        </w:rPr>
        <w:t>Leece</w:t>
      </w:r>
      <w:proofErr w:type="spellEnd"/>
      <w:r w:rsidRPr="0098140E">
        <w:rPr>
          <w:rFonts w:asciiTheme="minorHAnsi" w:hAnsiTheme="minorHAnsi" w:cstheme="minorHAnsi"/>
          <w:sz w:val="22"/>
          <w:szCs w:val="22"/>
        </w:rPr>
        <w:t xml:space="preserve">, E. A. (2015). </w:t>
      </w:r>
      <w:proofErr w:type="spellStart"/>
      <w:r w:rsidRPr="0098140E">
        <w:rPr>
          <w:rFonts w:asciiTheme="minorHAnsi" w:hAnsiTheme="minorHAnsi" w:cstheme="minorHAnsi"/>
          <w:sz w:val="22"/>
          <w:szCs w:val="22"/>
        </w:rPr>
        <w:t>Lumb</w:t>
      </w:r>
      <w:proofErr w:type="spellEnd"/>
      <w:r w:rsidRPr="0098140E">
        <w:rPr>
          <w:rFonts w:asciiTheme="minorHAnsi" w:hAnsiTheme="minorHAnsi" w:cstheme="minorHAnsi"/>
          <w:sz w:val="22"/>
          <w:szCs w:val="22"/>
        </w:rPr>
        <w:t xml:space="preserve"> &amp; Jones’ Veterinary Anesthesia and Analgesia. Veterinary </w:t>
      </w:r>
      <w:proofErr w:type="spellStart"/>
      <w:r w:rsidRPr="0098140E">
        <w:rPr>
          <w:rFonts w:asciiTheme="minorHAnsi" w:hAnsiTheme="minorHAnsi" w:cstheme="minorHAnsi"/>
          <w:sz w:val="22"/>
          <w:szCs w:val="22"/>
        </w:rPr>
        <w:t>Anaesthesia</w:t>
      </w:r>
      <w:proofErr w:type="spellEnd"/>
      <w:r w:rsidRPr="0098140E">
        <w:rPr>
          <w:rFonts w:asciiTheme="minorHAnsi" w:hAnsiTheme="minorHAnsi" w:cstheme="minorHAnsi"/>
          <w:sz w:val="22"/>
          <w:szCs w:val="22"/>
        </w:rPr>
        <w:t xml:space="preserve"> and Analgesia. Wiley and Sons.</w:t>
      </w:r>
    </w:p>
    <w:p w14:paraId="23332EA0" w14:textId="77777777" w:rsidR="0098140E" w:rsidRPr="0098140E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98140E">
        <w:rPr>
          <w:rFonts w:asciiTheme="minorHAnsi" w:hAnsiTheme="minorHAnsi" w:cstheme="minorHAnsi"/>
          <w:sz w:val="22"/>
          <w:szCs w:val="22"/>
        </w:rPr>
        <w:t xml:space="preserve">Plumb, D. (2008). Plumbs Veterinary Drug Handbook. Wiley-Blackwell. </w:t>
      </w:r>
    </w:p>
    <w:p w14:paraId="7D9086E3" w14:textId="77777777" w:rsidR="0098140E" w:rsidRPr="0098140E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98140E">
        <w:rPr>
          <w:rFonts w:asciiTheme="minorHAnsi" w:hAnsiTheme="minorHAnsi" w:cstheme="minorHAnsi"/>
          <w:sz w:val="22"/>
          <w:szCs w:val="22"/>
        </w:rPr>
        <w:t xml:space="preserve">Pritt, S., Cohen, K., &amp; </w:t>
      </w:r>
      <w:proofErr w:type="spellStart"/>
      <w:r w:rsidRPr="0098140E">
        <w:rPr>
          <w:rFonts w:asciiTheme="minorHAnsi" w:hAnsiTheme="minorHAnsi" w:cstheme="minorHAnsi"/>
          <w:sz w:val="22"/>
          <w:szCs w:val="22"/>
        </w:rPr>
        <w:t>Sedlacek</w:t>
      </w:r>
      <w:proofErr w:type="spellEnd"/>
      <w:r w:rsidRPr="0098140E">
        <w:rPr>
          <w:rFonts w:asciiTheme="minorHAnsi" w:hAnsiTheme="minorHAnsi" w:cstheme="minorHAnsi"/>
          <w:sz w:val="22"/>
          <w:szCs w:val="22"/>
        </w:rPr>
        <w:t>, H. (2012). The Laboratory Rabbit, Guinea Pig, Hamster, and Other Rodents. Elsevier, Inc</w:t>
      </w:r>
    </w:p>
    <w:p w14:paraId="418EE3F9" w14:textId="2C93BFB5" w:rsidR="0084423F" w:rsidRPr="00942F13" w:rsidRDefault="0098140E" w:rsidP="0098140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8140E">
        <w:rPr>
          <w:rFonts w:asciiTheme="minorHAnsi" w:hAnsiTheme="minorHAnsi" w:cstheme="minorHAnsi"/>
          <w:sz w:val="22"/>
          <w:szCs w:val="22"/>
        </w:rPr>
        <w:t>Quesenberry</w:t>
      </w:r>
      <w:proofErr w:type="spellEnd"/>
      <w:r w:rsidRPr="0098140E">
        <w:rPr>
          <w:rFonts w:asciiTheme="minorHAnsi" w:hAnsiTheme="minorHAnsi" w:cstheme="minorHAnsi"/>
          <w:sz w:val="22"/>
          <w:szCs w:val="22"/>
        </w:rPr>
        <w:t xml:space="preserve">, K. E., &amp; Carpenter, J. W. (2012). Ferrets, Rabbits and Rodents: Clinical Medicine and Surgery. Saunders.   </w:t>
      </w:r>
    </w:p>
    <w:p w14:paraId="21CCAE09" w14:textId="77777777" w:rsidR="0084423F" w:rsidRPr="004B6E6E" w:rsidRDefault="0084423F" w:rsidP="0084423F">
      <w:pPr>
        <w:pStyle w:val="NoSpacing"/>
        <w:numPr>
          <w:ilvl w:val="0"/>
          <w:numId w:val="1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4B6E6E">
        <w:rPr>
          <w:rFonts w:asciiTheme="minorHAnsi" w:hAnsiTheme="minorHAnsi" w:cstheme="minorHAnsi"/>
          <w:sz w:val="22"/>
          <w:szCs w:val="22"/>
        </w:rPr>
        <w:t xml:space="preserve">Turner, P. V, </w:t>
      </w:r>
      <w:proofErr w:type="spellStart"/>
      <w:r w:rsidRPr="004B6E6E">
        <w:rPr>
          <w:rFonts w:asciiTheme="minorHAnsi" w:hAnsiTheme="minorHAnsi" w:cstheme="minorHAnsi"/>
          <w:sz w:val="22"/>
          <w:szCs w:val="22"/>
        </w:rPr>
        <w:t>Pekow</w:t>
      </w:r>
      <w:proofErr w:type="spellEnd"/>
      <w:r w:rsidRPr="004B6E6E">
        <w:rPr>
          <w:rFonts w:asciiTheme="minorHAnsi" w:hAnsiTheme="minorHAnsi" w:cstheme="minorHAnsi"/>
          <w:sz w:val="22"/>
          <w:szCs w:val="22"/>
        </w:rPr>
        <w:t xml:space="preserve">, C., </w:t>
      </w:r>
      <w:proofErr w:type="spellStart"/>
      <w:r w:rsidRPr="004B6E6E">
        <w:rPr>
          <w:rFonts w:asciiTheme="minorHAnsi" w:hAnsiTheme="minorHAnsi" w:cstheme="minorHAnsi"/>
          <w:sz w:val="22"/>
          <w:szCs w:val="22"/>
        </w:rPr>
        <w:t>Vasbinder</w:t>
      </w:r>
      <w:proofErr w:type="spellEnd"/>
      <w:r w:rsidRPr="004B6E6E">
        <w:rPr>
          <w:rFonts w:asciiTheme="minorHAnsi" w:hAnsiTheme="minorHAnsi" w:cstheme="minorHAnsi"/>
          <w:sz w:val="22"/>
          <w:szCs w:val="22"/>
        </w:rPr>
        <w:t xml:space="preserve">, M. A., &amp; </w:t>
      </w:r>
      <w:proofErr w:type="spellStart"/>
      <w:r w:rsidRPr="004B6E6E">
        <w:rPr>
          <w:rFonts w:asciiTheme="minorHAnsi" w:hAnsiTheme="minorHAnsi" w:cstheme="minorHAnsi"/>
          <w:sz w:val="22"/>
          <w:szCs w:val="22"/>
        </w:rPr>
        <w:t>Brabb</w:t>
      </w:r>
      <w:proofErr w:type="spellEnd"/>
      <w:r w:rsidRPr="004B6E6E">
        <w:rPr>
          <w:rFonts w:asciiTheme="minorHAnsi" w:hAnsiTheme="minorHAnsi" w:cstheme="minorHAnsi"/>
          <w:sz w:val="22"/>
          <w:szCs w:val="22"/>
        </w:rPr>
        <w:t xml:space="preserve">, T. (2011). Administration of substances to laboratory animals: equipment considerations, vehicle selection, and solute preparation. Journal of the American Association for Laboratory Animal Science: JAALAS, 50(5), 614–627. Retrieved from:  </w:t>
      </w:r>
      <w:hyperlink r:id="rId8" w:history="1">
        <w:r w:rsidRPr="004B6E6E">
          <w:rPr>
            <w:rStyle w:val="Hyperlink"/>
            <w:rFonts w:asciiTheme="minorHAnsi" w:hAnsiTheme="minorHAnsi" w:cstheme="minorHAnsi"/>
            <w:sz w:val="20"/>
          </w:rPr>
          <w:t>http://www.pubmedcentral.nih.gov/articlerender.fcgi?artid=3189663&amp;tool=pmcentrez&amp;rendertype=abstract</w:t>
        </w:r>
      </w:hyperlink>
    </w:p>
    <w:p w14:paraId="443D5C4C" w14:textId="77777777" w:rsidR="0084423F" w:rsidRPr="004B6E6E" w:rsidRDefault="0084423F" w:rsidP="008442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50"/>
        <w:jc w:val="both"/>
        <w:rPr>
          <w:rFonts w:asciiTheme="minorHAnsi" w:hAnsiTheme="minorHAnsi" w:cstheme="minorHAnsi"/>
          <w:sz w:val="22"/>
          <w:szCs w:val="22"/>
        </w:rPr>
      </w:pPr>
      <w:r w:rsidRPr="004B6E6E">
        <w:rPr>
          <w:rFonts w:asciiTheme="minorHAnsi" w:hAnsiTheme="minorHAnsi" w:cstheme="minorHAnsi"/>
          <w:sz w:val="22"/>
          <w:szCs w:val="22"/>
        </w:rPr>
        <w:t xml:space="preserve">Turner, P. V, </w:t>
      </w:r>
      <w:proofErr w:type="spellStart"/>
      <w:r w:rsidRPr="004B6E6E">
        <w:rPr>
          <w:rFonts w:asciiTheme="minorHAnsi" w:hAnsiTheme="minorHAnsi" w:cstheme="minorHAnsi"/>
          <w:sz w:val="22"/>
          <w:szCs w:val="22"/>
        </w:rPr>
        <w:t>Brabb</w:t>
      </w:r>
      <w:proofErr w:type="spellEnd"/>
      <w:r w:rsidRPr="004B6E6E">
        <w:rPr>
          <w:rFonts w:asciiTheme="minorHAnsi" w:hAnsiTheme="minorHAnsi" w:cstheme="minorHAnsi"/>
          <w:sz w:val="22"/>
          <w:szCs w:val="22"/>
        </w:rPr>
        <w:t xml:space="preserve">, T., </w:t>
      </w:r>
      <w:proofErr w:type="spellStart"/>
      <w:r w:rsidRPr="004B6E6E">
        <w:rPr>
          <w:rFonts w:asciiTheme="minorHAnsi" w:hAnsiTheme="minorHAnsi" w:cstheme="minorHAnsi"/>
          <w:sz w:val="22"/>
          <w:szCs w:val="22"/>
        </w:rPr>
        <w:t>Pekow</w:t>
      </w:r>
      <w:proofErr w:type="spellEnd"/>
      <w:r w:rsidRPr="004B6E6E">
        <w:rPr>
          <w:rFonts w:asciiTheme="minorHAnsi" w:hAnsiTheme="minorHAnsi" w:cstheme="minorHAnsi"/>
          <w:sz w:val="22"/>
          <w:szCs w:val="22"/>
        </w:rPr>
        <w:t xml:space="preserve">, C., &amp; </w:t>
      </w:r>
      <w:proofErr w:type="spellStart"/>
      <w:r w:rsidRPr="004B6E6E">
        <w:rPr>
          <w:rFonts w:asciiTheme="minorHAnsi" w:hAnsiTheme="minorHAnsi" w:cstheme="minorHAnsi"/>
          <w:sz w:val="22"/>
          <w:szCs w:val="22"/>
        </w:rPr>
        <w:t>Vasbinder</w:t>
      </w:r>
      <w:proofErr w:type="spellEnd"/>
      <w:r w:rsidRPr="004B6E6E">
        <w:rPr>
          <w:rFonts w:asciiTheme="minorHAnsi" w:hAnsiTheme="minorHAnsi" w:cstheme="minorHAnsi"/>
          <w:sz w:val="22"/>
          <w:szCs w:val="22"/>
        </w:rPr>
        <w:t xml:space="preserve">, M. A. (2011). Administration of substances to laboratory animals: routes of administration and factors to consider. Journal of the American </w:t>
      </w:r>
      <w:r w:rsidRPr="004B6E6E">
        <w:rPr>
          <w:rFonts w:asciiTheme="minorHAnsi" w:hAnsiTheme="minorHAnsi" w:cstheme="minorHAnsi"/>
          <w:sz w:val="22"/>
          <w:szCs w:val="22"/>
        </w:rPr>
        <w:lastRenderedPageBreak/>
        <w:t xml:space="preserve">Association for Laboratory Animal Science: JAALAS, 50(5), 600–613. Retrieved from: </w:t>
      </w:r>
      <w:hyperlink r:id="rId9" w:history="1">
        <w:r w:rsidRPr="004B6E6E">
          <w:rPr>
            <w:rStyle w:val="Hyperlink"/>
            <w:rFonts w:asciiTheme="minorHAnsi" w:hAnsiTheme="minorHAnsi" w:cstheme="minorHAnsi"/>
          </w:rPr>
          <w:t>http://www.pubmedcentral.nih.gov/articlerender.fcgi?artid=3189662&amp;tool=pmcentrez&amp;rendertype=abstract</w:t>
        </w:r>
      </w:hyperlink>
    </w:p>
    <w:p w14:paraId="556B355C" w14:textId="3DF42CE2" w:rsidR="00D55757" w:rsidRPr="00F60752" w:rsidRDefault="003671BD" w:rsidP="00D55757">
      <w:pPr>
        <w:numPr>
          <w:ilvl w:val="0"/>
          <w:numId w:val="1"/>
        </w:numPr>
        <w:ind w:left="45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0" w:history="1">
        <w:r w:rsidR="00D55757" w:rsidRPr="00F60752">
          <w:rPr>
            <w:rStyle w:val="Hyperlink"/>
            <w:rFonts w:asciiTheme="minorHAnsi" w:hAnsiTheme="minorHAnsi" w:cstheme="minorHAnsi"/>
            <w:sz w:val="22"/>
            <w:szCs w:val="22"/>
          </w:rPr>
          <w:t>American Veterinary Medical Association (AVMA) Guidelines for the Euthanasia of Animals</w:t>
        </w:r>
      </w:hyperlink>
    </w:p>
    <w:p w14:paraId="21FEFFCB" w14:textId="77777777" w:rsidR="00DD03DB" w:rsidRPr="00F60752" w:rsidRDefault="003671BD" w:rsidP="00DD03DB">
      <w:pPr>
        <w:numPr>
          <w:ilvl w:val="0"/>
          <w:numId w:val="1"/>
        </w:numPr>
        <w:ind w:left="450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DD03DB" w:rsidRPr="00F60752">
          <w:rPr>
            <w:rStyle w:val="Hyperlink"/>
            <w:rFonts w:asciiTheme="minorHAnsi" w:hAnsiTheme="minorHAnsi" w:cstheme="minorHAnsi"/>
            <w:sz w:val="22"/>
            <w:szCs w:val="22"/>
          </w:rPr>
          <w:t>IACUC Policy on Blood Collection</w:t>
        </w:r>
      </w:hyperlink>
    </w:p>
    <w:p w14:paraId="38977A81" w14:textId="77777777" w:rsidR="00DD03DB" w:rsidRPr="00F60752" w:rsidRDefault="003671BD" w:rsidP="00DD03DB">
      <w:pPr>
        <w:numPr>
          <w:ilvl w:val="0"/>
          <w:numId w:val="1"/>
        </w:numPr>
        <w:ind w:left="450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DD03DB" w:rsidRPr="00DD03DB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Needle Use and Injection Policy</w:t>
        </w:r>
      </w:hyperlink>
    </w:p>
    <w:p w14:paraId="1CB48614" w14:textId="77777777" w:rsidR="00F60752" w:rsidRPr="00F60752" w:rsidRDefault="003671BD" w:rsidP="00F60752">
      <w:pPr>
        <w:numPr>
          <w:ilvl w:val="0"/>
          <w:numId w:val="1"/>
        </w:numPr>
        <w:ind w:left="450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DD03DB" w:rsidRPr="00DD03DB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Recommended Doses of Anesthetics and Analgesics of Laboratory Animals</w:t>
        </w:r>
      </w:hyperlink>
    </w:p>
    <w:p w14:paraId="4FCEED3C" w14:textId="622EB30C" w:rsidR="00F60752" w:rsidRPr="00DD03DB" w:rsidRDefault="003671BD" w:rsidP="00F60752">
      <w:pPr>
        <w:numPr>
          <w:ilvl w:val="0"/>
          <w:numId w:val="1"/>
        </w:numPr>
        <w:ind w:left="450"/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F60752" w:rsidRPr="00F6075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Use of Pharmaceutical and Non – Pharmaceutical Grade Compounds in Animals</w:t>
        </w:r>
      </w:hyperlink>
    </w:p>
    <w:p w14:paraId="0FDEAB30" w14:textId="77777777" w:rsidR="00F60752" w:rsidRPr="00F60752" w:rsidRDefault="003671BD" w:rsidP="00DD03DB">
      <w:pPr>
        <w:numPr>
          <w:ilvl w:val="0"/>
          <w:numId w:val="1"/>
        </w:numPr>
        <w:ind w:left="450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DD03DB" w:rsidRPr="00F60752">
          <w:rPr>
            <w:rStyle w:val="Hyperlink"/>
            <w:rFonts w:asciiTheme="minorHAnsi" w:hAnsiTheme="minorHAnsi" w:cstheme="minorHAnsi"/>
            <w:sz w:val="22"/>
            <w:szCs w:val="22"/>
          </w:rPr>
          <w:t>IACUC Policy on Euthanasia</w:t>
        </w:r>
      </w:hyperlink>
    </w:p>
    <w:p w14:paraId="688D74F7" w14:textId="26A3F556" w:rsidR="00DD03DB" w:rsidRPr="00F60752" w:rsidRDefault="003671BD" w:rsidP="00F60752">
      <w:pPr>
        <w:numPr>
          <w:ilvl w:val="0"/>
          <w:numId w:val="1"/>
        </w:numPr>
        <w:ind w:left="450"/>
        <w:jc w:val="both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DD03DB" w:rsidRPr="00DD03DB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Policy for Mouse Tail Biopsy for Genotyping</w:t>
        </w:r>
      </w:hyperlink>
    </w:p>
    <w:p w14:paraId="582007FC" w14:textId="6E4F2336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Barthold, S. W., Griffey, S. M., &amp; Percy, D. H. (Eds.). (2016).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Pathology of Laboratory Rodents and Rabbits, Fourth Edition</w:t>
      </w:r>
      <w:r w:rsidRPr="004B6E6E">
        <w:rPr>
          <w:rFonts w:ascii="Calibri" w:hAnsi="Calibri" w:cs="Calibri"/>
          <w:noProof/>
          <w:sz w:val="22"/>
          <w:szCs w:val="24"/>
        </w:rPr>
        <w:t xml:space="preserve">. </w:t>
      </w:r>
    </w:p>
    <w:p w14:paraId="5FDF3FD6" w14:textId="77777777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Bogdanske, J. J. (2011).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Laboratory rat procedural techniques : manual and DVD</w:t>
      </w:r>
      <w:r w:rsidRPr="004B6E6E">
        <w:rPr>
          <w:rFonts w:ascii="Calibri" w:hAnsi="Calibri" w:cs="Calibri"/>
          <w:noProof/>
          <w:sz w:val="22"/>
          <w:szCs w:val="24"/>
        </w:rPr>
        <w:t>. CRC Press.</w:t>
      </w:r>
    </w:p>
    <w:p w14:paraId="12A0E729" w14:textId="77777777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Bollen Hansen, A.K., Rasmussen, H.J., P. J. A. (2000). The laboratory swine.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The Lab. Anim. Pocket Ref. Series. New York. CRC Press.</w:t>
      </w:r>
    </w:p>
    <w:p w14:paraId="41D0D162" w14:textId="77777777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Bollen, P. J. A., Hansen, A. K., &amp; Alstrup, A. K. O. (1999).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The laboratory swine</w:t>
      </w:r>
      <w:r w:rsidRPr="004B6E6E">
        <w:rPr>
          <w:rFonts w:ascii="Calibri" w:hAnsi="Calibri" w:cs="Calibri"/>
          <w:noProof/>
          <w:sz w:val="22"/>
          <w:szCs w:val="24"/>
        </w:rPr>
        <w:t>. CRC Press/Taylor &amp; Francis.</w:t>
      </w:r>
    </w:p>
    <w:p w14:paraId="02FD6D01" w14:textId="77777777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Carpenter, J. W. (James W., &amp; Marion, C. J. (2018).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Exotic animal formulary</w:t>
      </w:r>
      <w:r w:rsidRPr="004B6E6E">
        <w:rPr>
          <w:rFonts w:ascii="Calibri" w:hAnsi="Calibri" w:cs="Calibri"/>
          <w:noProof/>
          <w:sz w:val="22"/>
          <w:szCs w:val="24"/>
        </w:rPr>
        <w:t xml:space="preserve"> (Fifth edit). St. Louis, Missouri : Elsevier.</w:t>
      </w:r>
    </w:p>
    <w:p w14:paraId="4F4B6F04" w14:textId="66CF9CFA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Danneman, P., Suckow, M. A., Brayton, C., &amp; Suckow, M. A. (2001).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The laboratory mouse</w:t>
      </w:r>
      <w:r w:rsidRPr="004B6E6E">
        <w:rPr>
          <w:rFonts w:ascii="Calibri" w:hAnsi="Calibri" w:cs="Calibri"/>
          <w:noProof/>
          <w:sz w:val="22"/>
          <w:szCs w:val="24"/>
        </w:rPr>
        <w:t>. Taylor &amp; Francis. CRC Press</w:t>
      </w:r>
    </w:p>
    <w:p w14:paraId="1BEEDA61" w14:textId="77777777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Hankenson, F. C. (2014).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Critical Care Management for Laboratory Mice and Rats</w:t>
      </w:r>
      <w:r w:rsidRPr="004B6E6E">
        <w:rPr>
          <w:rFonts w:ascii="Calibri" w:hAnsi="Calibri" w:cs="Calibri"/>
          <w:noProof/>
          <w:sz w:val="22"/>
          <w:szCs w:val="24"/>
        </w:rPr>
        <w:t xml:space="preserve"> (1st ed.; M. Suckow, ed.). Boca Raton, FL: CRC Press.</w:t>
      </w:r>
    </w:p>
    <w:p w14:paraId="353C7143" w14:textId="77777777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Hedrich, H. J. (2012).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The laboratory mouse</w:t>
      </w:r>
      <w:r w:rsidRPr="004B6E6E">
        <w:rPr>
          <w:rFonts w:ascii="Calibri" w:hAnsi="Calibri" w:cs="Calibri"/>
          <w:noProof/>
          <w:sz w:val="22"/>
          <w:szCs w:val="24"/>
        </w:rPr>
        <w:t>. Academic Press/Elsevier.</w:t>
      </w:r>
    </w:p>
    <w:p w14:paraId="6AD1EFC1" w14:textId="77777777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Hessler, J. R., &amp; Lehnerc, N. D. M. (2009). Planning and Designing Research Animal Facilities. In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Planning and Designing Research Animal Facilities</w:t>
      </w:r>
      <w:r w:rsidRPr="004B6E6E">
        <w:rPr>
          <w:rFonts w:ascii="Calibri" w:hAnsi="Calibri" w:cs="Calibri"/>
          <w:noProof/>
          <w:sz w:val="22"/>
          <w:szCs w:val="24"/>
        </w:rPr>
        <w:t>. https://doi.org/10.1016/B978-0-12-369517-8.X0001-1</w:t>
      </w:r>
    </w:p>
    <w:p w14:paraId="12E7A5D8" w14:textId="154A92E4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Hrapkiewicz, K., Colby, L., &amp; Denison, P. (2013).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Clinical laboratory animal medicine : an introduction</w:t>
      </w:r>
      <w:r w:rsidRPr="004B6E6E">
        <w:rPr>
          <w:rFonts w:ascii="Calibri" w:hAnsi="Calibri" w:cs="Calibri"/>
          <w:noProof/>
          <w:sz w:val="22"/>
          <w:szCs w:val="24"/>
        </w:rPr>
        <w:t xml:space="preserve"> (4th ed.). Wiley Blackwell</w:t>
      </w:r>
    </w:p>
    <w:p w14:paraId="5BD20424" w14:textId="77777777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Matchett, C. A., Marr, R., Berard, F., Cawthon, A., &amp; Swing, S. (2012).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The laboratory ferret</w:t>
      </w:r>
      <w:r w:rsidRPr="004B6E6E">
        <w:rPr>
          <w:rFonts w:ascii="Calibri" w:hAnsi="Calibri" w:cs="Calibri"/>
          <w:noProof/>
          <w:sz w:val="22"/>
          <w:szCs w:val="24"/>
        </w:rPr>
        <w:t>. CRC Press.</w:t>
      </w:r>
    </w:p>
    <w:p w14:paraId="22F5CD85" w14:textId="77777777" w:rsidR="000703E2" w:rsidRPr="00D0451B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4B6E6E">
        <w:rPr>
          <w:rFonts w:ascii="Calibri" w:hAnsi="Calibri" w:cs="Calibri"/>
          <w:noProof/>
          <w:sz w:val="22"/>
          <w:szCs w:val="24"/>
        </w:rPr>
        <w:t xml:space="preserve">Noga, </w:t>
      </w:r>
      <w:r w:rsidRPr="00D0451B">
        <w:rPr>
          <w:rFonts w:ascii="Calibri" w:hAnsi="Calibri" w:cs="Calibri"/>
          <w:noProof/>
          <w:sz w:val="22"/>
          <w:szCs w:val="24"/>
        </w:rPr>
        <w:t xml:space="preserve">E. J. (2010). </w:t>
      </w:r>
      <w:r w:rsidRPr="00D0451B">
        <w:rPr>
          <w:rFonts w:ascii="Calibri" w:hAnsi="Calibri" w:cs="Calibri"/>
          <w:i/>
          <w:iCs/>
          <w:noProof/>
          <w:sz w:val="22"/>
          <w:szCs w:val="24"/>
        </w:rPr>
        <w:t>Fish Disease: Diagnosis and Treatment, Second Edition</w:t>
      </w:r>
      <w:r w:rsidRPr="00D0451B">
        <w:rPr>
          <w:rFonts w:ascii="Calibri" w:hAnsi="Calibri" w:cs="Calibri"/>
          <w:noProof/>
          <w:sz w:val="22"/>
          <w:szCs w:val="24"/>
        </w:rPr>
        <w:t>. Wiley-Blackwell.</w:t>
      </w:r>
    </w:p>
    <w:p w14:paraId="639B11D8" w14:textId="0E0EE8BF" w:rsidR="00674A25" w:rsidRPr="00D0451B" w:rsidRDefault="00674A25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D0451B">
        <w:rPr>
          <w:rFonts w:ascii="Calibri" w:hAnsi="Calibri" w:cs="Calibri"/>
          <w:noProof/>
          <w:sz w:val="22"/>
          <w:szCs w:val="24"/>
        </w:rPr>
        <w:t xml:space="preserve">Papich, M (2015). </w:t>
      </w:r>
      <w:r w:rsidRPr="00D0451B">
        <w:rPr>
          <w:rFonts w:ascii="Calibri" w:hAnsi="Calibri" w:cs="Calibri"/>
          <w:i/>
          <w:iCs/>
          <w:noProof/>
          <w:sz w:val="22"/>
          <w:szCs w:val="24"/>
        </w:rPr>
        <w:t xml:space="preserve">Saunders Handbook of Veterinary Drugs, Fourth Edition. </w:t>
      </w:r>
      <w:r w:rsidRPr="00D0451B">
        <w:rPr>
          <w:rFonts w:ascii="Calibri" w:hAnsi="Calibri" w:cs="Calibri"/>
          <w:noProof/>
          <w:sz w:val="22"/>
          <w:szCs w:val="24"/>
        </w:rPr>
        <w:t xml:space="preserve">Elsevier. </w:t>
      </w:r>
    </w:p>
    <w:p w14:paraId="4ADA2522" w14:textId="44DCBF13" w:rsidR="000703E2" w:rsidRPr="00D0451B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D0451B">
        <w:rPr>
          <w:rFonts w:ascii="Calibri" w:hAnsi="Calibri" w:cs="Calibri"/>
          <w:noProof/>
          <w:sz w:val="22"/>
          <w:szCs w:val="24"/>
        </w:rPr>
        <w:t xml:space="preserve">Rigalli, A., &amp; Di Loreto, V. E. (2009). </w:t>
      </w:r>
      <w:r w:rsidRPr="00D0451B">
        <w:rPr>
          <w:rFonts w:ascii="Calibri" w:hAnsi="Calibri" w:cs="Calibri"/>
          <w:i/>
          <w:iCs/>
          <w:noProof/>
          <w:sz w:val="22"/>
          <w:szCs w:val="24"/>
        </w:rPr>
        <w:t>Experimental surgical models in the laboratory rat</w:t>
      </w:r>
      <w:r w:rsidRPr="00D0451B">
        <w:rPr>
          <w:rFonts w:ascii="Calibri" w:hAnsi="Calibri" w:cs="Calibri"/>
          <w:noProof/>
          <w:sz w:val="22"/>
          <w:szCs w:val="24"/>
        </w:rPr>
        <w:t>. CRC Press/Taylor &amp; Francis.</w:t>
      </w:r>
    </w:p>
    <w:p w14:paraId="2DCF5D93" w14:textId="77777777" w:rsidR="000703E2" w:rsidRPr="004B6E6E" w:rsidRDefault="000703E2" w:rsidP="00CE2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/>
        <w:ind w:left="450"/>
        <w:rPr>
          <w:rFonts w:ascii="Calibri" w:hAnsi="Calibri" w:cs="Calibri"/>
          <w:noProof/>
          <w:sz w:val="22"/>
          <w:szCs w:val="24"/>
        </w:rPr>
      </w:pPr>
      <w:r w:rsidRPr="00D0451B">
        <w:rPr>
          <w:rFonts w:ascii="Calibri" w:hAnsi="Calibri" w:cs="Calibri"/>
          <w:noProof/>
          <w:sz w:val="22"/>
          <w:szCs w:val="24"/>
        </w:rPr>
        <w:t>Swindle,</w:t>
      </w:r>
      <w:r w:rsidRPr="004B6E6E">
        <w:rPr>
          <w:rFonts w:ascii="Calibri" w:hAnsi="Calibri" w:cs="Calibri"/>
          <w:noProof/>
          <w:sz w:val="22"/>
          <w:szCs w:val="24"/>
        </w:rPr>
        <w:t xml:space="preserve"> M. M. (2016).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Swine in the laboratory: Surgery, anesthesia, imaging, and experimental techniques</w:t>
      </w:r>
      <w:r w:rsidRPr="004B6E6E">
        <w:rPr>
          <w:rFonts w:ascii="Calibri" w:hAnsi="Calibri" w:cs="Calibri"/>
          <w:noProof/>
          <w:sz w:val="22"/>
          <w:szCs w:val="24"/>
        </w:rPr>
        <w:t xml:space="preserve"> (3rd ed.). CRC Press.</w:t>
      </w:r>
    </w:p>
    <w:p w14:paraId="6CC68711" w14:textId="1D56D0FC" w:rsidR="00BE73DC" w:rsidRPr="004B6E6E" w:rsidRDefault="000703E2">
      <w:pPr>
        <w:pStyle w:val="ListParagraph"/>
        <w:numPr>
          <w:ilvl w:val="0"/>
          <w:numId w:val="1"/>
        </w:numPr>
        <w:ind w:left="450"/>
        <w:jc w:val="both"/>
      </w:pPr>
      <w:r w:rsidRPr="004B6E6E">
        <w:rPr>
          <w:rFonts w:ascii="Calibri" w:hAnsi="Calibri" w:cs="Calibri"/>
          <w:noProof/>
          <w:sz w:val="22"/>
          <w:szCs w:val="24"/>
        </w:rPr>
        <w:t xml:space="preserve">Zann, R. A. (1996). </w:t>
      </w:r>
      <w:r w:rsidRPr="004B6E6E">
        <w:rPr>
          <w:rFonts w:ascii="Calibri" w:hAnsi="Calibri" w:cs="Calibri"/>
          <w:i/>
          <w:iCs/>
          <w:noProof/>
          <w:sz w:val="22"/>
          <w:szCs w:val="24"/>
        </w:rPr>
        <w:t>The Zebra Finch: A Synthesis of Field and Laboratory Studies.</w:t>
      </w:r>
      <w:r w:rsidRPr="004B6E6E">
        <w:rPr>
          <w:rFonts w:ascii="Calibri" w:hAnsi="Calibri" w:cs="Calibri"/>
          <w:noProof/>
          <w:sz w:val="22"/>
          <w:szCs w:val="24"/>
        </w:rPr>
        <w:t xml:space="preserve"> Oxford University Press</w:t>
      </w:r>
    </w:p>
    <w:p w14:paraId="269C1C87" w14:textId="2FEC02B1" w:rsidR="00CE287A" w:rsidRPr="004B6E6E" w:rsidRDefault="00CE287A" w:rsidP="00CE287A">
      <w:pPr>
        <w:jc w:val="both"/>
      </w:pPr>
    </w:p>
    <w:p w14:paraId="0C30071D" w14:textId="3285E6EA" w:rsidR="00CE287A" w:rsidRDefault="00CE287A" w:rsidP="00CE287A">
      <w:pPr>
        <w:jc w:val="both"/>
      </w:pPr>
      <w:r w:rsidRPr="004B6E6E">
        <w:t>*Earlier editions of a guidance document may be used if still valid in the veterinarian’s judgement.</w:t>
      </w:r>
      <w:r>
        <w:t xml:space="preserve"> </w:t>
      </w:r>
    </w:p>
    <w:sectPr w:rsidR="00CE287A" w:rsidSect="00F41104">
      <w:headerReference w:type="default" r:id="rId17"/>
      <w:pgSz w:w="12240" w:h="15840"/>
      <w:pgMar w:top="1185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091D" w14:textId="77777777" w:rsidR="003671BD" w:rsidRDefault="003671BD" w:rsidP="00F41104">
      <w:r>
        <w:separator/>
      </w:r>
    </w:p>
  </w:endnote>
  <w:endnote w:type="continuationSeparator" w:id="0">
    <w:p w14:paraId="4E55BC68" w14:textId="77777777" w:rsidR="003671BD" w:rsidRDefault="003671BD" w:rsidP="00F4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789B" w14:textId="77777777" w:rsidR="003671BD" w:rsidRDefault="003671BD" w:rsidP="00F41104">
      <w:r>
        <w:separator/>
      </w:r>
    </w:p>
  </w:footnote>
  <w:footnote w:type="continuationSeparator" w:id="0">
    <w:p w14:paraId="60675364" w14:textId="77777777" w:rsidR="003671BD" w:rsidRDefault="003671BD" w:rsidP="00F4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F94F" w14:textId="11C506C2" w:rsidR="00F41104" w:rsidRPr="00F41104" w:rsidRDefault="00F41104" w:rsidP="000157DD">
    <w:pPr>
      <w:tabs>
        <w:tab w:val="center" w:pos="4320"/>
        <w:tab w:val="right" w:pos="9270"/>
      </w:tabs>
      <w:rPr>
        <w:rFonts w:asciiTheme="minorHAnsi" w:hAnsiTheme="minorHAnsi"/>
        <w:i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D68"/>
    <w:multiLevelType w:val="hybridMultilevel"/>
    <w:tmpl w:val="11461C10"/>
    <w:lvl w:ilvl="0" w:tplc="A816D556">
      <w:start w:val="1"/>
      <w:numFmt w:val="decimal"/>
      <w:lvlText w:val="%1."/>
      <w:lvlJc w:val="left"/>
      <w:pPr>
        <w:ind w:left="171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0F77"/>
    <w:multiLevelType w:val="hybridMultilevel"/>
    <w:tmpl w:val="76787C58"/>
    <w:lvl w:ilvl="0" w:tplc="A816D5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3F"/>
    <w:rsid w:val="0001028E"/>
    <w:rsid w:val="000157DD"/>
    <w:rsid w:val="000703E2"/>
    <w:rsid w:val="000744F1"/>
    <w:rsid w:val="00142C7B"/>
    <w:rsid w:val="001863D4"/>
    <w:rsid w:val="00204422"/>
    <w:rsid w:val="00204533"/>
    <w:rsid w:val="003671BD"/>
    <w:rsid w:val="004B6E6E"/>
    <w:rsid w:val="004F7E81"/>
    <w:rsid w:val="00543E4B"/>
    <w:rsid w:val="005958B6"/>
    <w:rsid w:val="0063307D"/>
    <w:rsid w:val="00674A25"/>
    <w:rsid w:val="006850E1"/>
    <w:rsid w:val="006E6F8E"/>
    <w:rsid w:val="007000DE"/>
    <w:rsid w:val="00720F72"/>
    <w:rsid w:val="007674F2"/>
    <w:rsid w:val="0078161A"/>
    <w:rsid w:val="00836359"/>
    <w:rsid w:val="0084423F"/>
    <w:rsid w:val="008969F1"/>
    <w:rsid w:val="008A5DF3"/>
    <w:rsid w:val="00903777"/>
    <w:rsid w:val="009322BF"/>
    <w:rsid w:val="00942F13"/>
    <w:rsid w:val="0098140E"/>
    <w:rsid w:val="00A40372"/>
    <w:rsid w:val="00A918A5"/>
    <w:rsid w:val="00AF5ED6"/>
    <w:rsid w:val="00B459FD"/>
    <w:rsid w:val="00BB4762"/>
    <w:rsid w:val="00BE73DC"/>
    <w:rsid w:val="00BE7EC3"/>
    <w:rsid w:val="00CB7A8F"/>
    <w:rsid w:val="00CE287A"/>
    <w:rsid w:val="00D0451B"/>
    <w:rsid w:val="00D55757"/>
    <w:rsid w:val="00D82D95"/>
    <w:rsid w:val="00DD03DB"/>
    <w:rsid w:val="00F16928"/>
    <w:rsid w:val="00F41104"/>
    <w:rsid w:val="00F56EE2"/>
    <w:rsid w:val="00F60752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C1066"/>
  <w15:chartTrackingRefBased/>
  <w15:docId w15:val="{19C80FDB-22BC-4945-83CF-4CDDCA0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157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42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23F"/>
    <w:pPr>
      <w:ind w:left="720"/>
      <w:contextualSpacing/>
    </w:pPr>
  </w:style>
  <w:style w:type="paragraph" w:styleId="NoSpacing">
    <w:name w:val="No Spacing"/>
    <w:uiPriority w:val="1"/>
    <w:qFormat/>
    <w:rsid w:val="008442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F4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1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0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7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3DC"/>
  </w:style>
  <w:style w:type="character" w:customStyle="1" w:styleId="CommentTextChar">
    <w:name w:val="Comment Text Char"/>
    <w:basedOn w:val="DefaultParagraphFont"/>
    <w:link w:val="CommentText"/>
    <w:uiPriority w:val="99"/>
    <w:rsid w:val="00BE73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3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D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4A25"/>
    <w:rPr>
      <w:color w:val="954F72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0157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link w:val="SubtitleChar"/>
    <w:uiPriority w:val="11"/>
    <w:qFormat/>
    <w:rsid w:val="000157DD"/>
    <w:pPr>
      <w:jc w:val="center"/>
    </w:pPr>
    <w:rPr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0157DD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medcentral.nih.gov/articlerender.fcgi?artid=3189663&amp;tool=pmcentrez&amp;rendertype=abstract" TargetMode="External"/><Relationship Id="rId13" Type="http://schemas.openxmlformats.org/officeDocument/2006/relationships/hyperlink" Target="https://research.northeastern.edu/app/uploads/sites/5/2020/02/Anesthesia-and-Analgesia-Guidelines-Final-2019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.northeastern.edu/animalcare/needle-use-and-injection-policy-in-animals-final-2019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search.northeastern.edu/animalcare/policy-on-genotyping-laboratory-rodents-2019-fin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northeastern.edu/animalcare/blood-collection-final-20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northeastern.edu/animalcare/euthanasia-final-2019/" TargetMode="External"/><Relationship Id="rId10" Type="http://schemas.openxmlformats.org/officeDocument/2006/relationships/hyperlink" Target="https://www.avma.org/KB/Policies/Documents/euthanasi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bmedcentral.nih.gov/articlerender.fcgi?artid=3189662&amp;tool=pmcentrez&amp;rendertype=abstract" TargetMode="External"/><Relationship Id="rId14" Type="http://schemas.openxmlformats.org/officeDocument/2006/relationships/hyperlink" Target="https://research.northeastern.edu/animalcare/use-of-non-pharmaceutical-grade-compounds-final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6605-D6B8-4C35-875E-EBD6846B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Heller</dc:creator>
  <cp:keywords/>
  <dc:description/>
  <cp:lastModifiedBy>Sullivan, Sean</cp:lastModifiedBy>
  <cp:revision>5</cp:revision>
  <dcterms:created xsi:type="dcterms:W3CDTF">2021-10-06T14:28:00Z</dcterms:created>
  <dcterms:modified xsi:type="dcterms:W3CDTF">2021-10-14T18:45:00Z</dcterms:modified>
</cp:coreProperties>
</file>